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868" w:rsidRPr="007E7868" w:rsidRDefault="007E7868" w:rsidP="007E7868">
      <w:pPr>
        <w:pStyle w:val="af5"/>
        <w:numPr>
          <w:ilvl w:val="0"/>
          <w:numId w:val="1"/>
        </w:numPr>
        <w:spacing w:after="200"/>
        <w:jc w:val="center"/>
        <w:rPr>
          <w:rFonts w:eastAsia="Calibri"/>
          <w:sz w:val="28"/>
          <w:szCs w:val="28"/>
          <w:lang w:eastAsia="en-US"/>
        </w:rPr>
      </w:pPr>
    </w:p>
    <w:p w:rsidR="007E7868" w:rsidRPr="007E7868" w:rsidRDefault="007E7868" w:rsidP="007E7868">
      <w:pPr>
        <w:pStyle w:val="af5"/>
        <w:numPr>
          <w:ilvl w:val="0"/>
          <w:numId w:val="1"/>
        </w:numPr>
        <w:jc w:val="both"/>
        <w:rPr>
          <w:sz w:val="28"/>
          <w:szCs w:val="28"/>
        </w:rPr>
      </w:pP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2696845</wp:posOffset>
            </wp:positionH>
            <wp:positionV relativeFrom="paragraph">
              <wp:posOffset>-334010</wp:posOffset>
            </wp:positionV>
            <wp:extent cx="466725" cy="55245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7E7868">
        <w:rPr>
          <w:sz w:val="28"/>
          <w:szCs w:val="28"/>
        </w:rPr>
        <w:t>АДМИНИСТРАЦИЯ ГОРОДА НЕВИННОМЫССКА</w:t>
      </w: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7E7868">
        <w:rPr>
          <w:sz w:val="28"/>
          <w:szCs w:val="28"/>
        </w:rPr>
        <w:t>СТАВРОПОЛЬСКОГО КРАЯ</w:t>
      </w:r>
    </w:p>
    <w:p w:rsidR="007E7868" w:rsidRPr="007E7868" w:rsidRDefault="008F7025" w:rsidP="007E7868">
      <w:pPr>
        <w:pStyle w:val="af5"/>
        <w:widowControl w:val="0"/>
        <w:numPr>
          <w:ilvl w:val="0"/>
          <w:numId w:val="1"/>
        </w:numPr>
        <w:tabs>
          <w:tab w:val="left" w:pos="-142"/>
        </w:tabs>
        <w:autoSpaceDN w:val="0"/>
        <w:adjustRightInd w:val="0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FILENAME \p \* MERGEFORMAT </w:instrText>
      </w:r>
      <w:r>
        <w:rPr>
          <w:sz w:val="28"/>
          <w:szCs w:val="28"/>
        </w:rPr>
        <w:fldChar w:fldCharType="separate"/>
      </w:r>
      <w:r>
        <w:rPr>
          <w:noProof/>
          <w:sz w:val="28"/>
          <w:szCs w:val="28"/>
        </w:rPr>
        <w:t>\\Galina_new\почта\2026\10 октябрь\8\1417.docx</w:t>
      </w:r>
      <w:r>
        <w:rPr>
          <w:sz w:val="28"/>
          <w:szCs w:val="28"/>
        </w:rPr>
        <w:fldChar w:fldCharType="end"/>
      </w:r>
      <w:bookmarkStart w:id="0" w:name="_GoBack"/>
      <w:bookmarkEnd w:id="0"/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  <w:tab w:val="left" w:pos="4263"/>
        </w:tabs>
        <w:autoSpaceDN w:val="0"/>
        <w:adjustRightInd w:val="0"/>
        <w:ind w:right="-2"/>
        <w:jc w:val="center"/>
        <w:rPr>
          <w:sz w:val="28"/>
          <w:szCs w:val="28"/>
        </w:rPr>
      </w:pPr>
      <w:r w:rsidRPr="007E7868">
        <w:rPr>
          <w:sz w:val="28"/>
          <w:szCs w:val="28"/>
        </w:rPr>
        <w:t>ПОСТАНОВЛЕНИЕ</w:t>
      </w: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sz w:val="28"/>
          <w:szCs w:val="28"/>
        </w:rPr>
      </w:pP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sz w:val="28"/>
          <w:szCs w:val="28"/>
        </w:rPr>
      </w:pPr>
    </w:p>
    <w:p w:rsidR="007E7868" w:rsidRPr="007E7868" w:rsidRDefault="007E7868" w:rsidP="007E7868">
      <w:pPr>
        <w:pStyle w:val="af5"/>
        <w:widowControl w:val="0"/>
        <w:numPr>
          <w:ilvl w:val="0"/>
          <w:numId w:val="1"/>
        </w:numPr>
        <w:tabs>
          <w:tab w:val="left" w:pos="-142"/>
          <w:tab w:val="left" w:pos="4140"/>
        </w:tabs>
        <w:autoSpaceDN w:val="0"/>
        <w:adjustRightInd w:val="0"/>
        <w:spacing w:line="240" w:lineRule="exact"/>
        <w:ind w:right="-2"/>
        <w:jc w:val="center"/>
        <w:rPr>
          <w:sz w:val="28"/>
          <w:szCs w:val="28"/>
        </w:rPr>
      </w:pPr>
    </w:p>
    <w:p w:rsidR="007E7868" w:rsidRPr="007E7868" w:rsidRDefault="007E7868" w:rsidP="007E7868">
      <w:pPr>
        <w:pStyle w:val="af5"/>
        <w:numPr>
          <w:ilvl w:val="0"/>
          <w:numId w:val="1"/>
        </w:numPr>
        <w:tabs>
          <w:tab w:val="left" w:pos="4140"/>
        </w:tabs>
        <w:spacing w:line="240" w:lineRule="exact"/>
        <w:jc w:val="both"/>
        <w:rPr>
          <w:sz w:val="28"/>
        </w:rPr>
      </w:pPr>
      <w:r w:rsidRPr="007E7868">
        <w:rPr>
          <w:sz w:val="28"/>
          <w:szCs w:val="28"/>
        </w:rPr>
        <w:t>28.09.2026                                    г. Невинномысск                                    № 141</w:t>
      </w:r>
      <w:r>
        <w:rPr>
          <w:sz w:val="28"/>
          <w:szCs w:val="28"/>
        </w:rPr>
        <w:t>7</w:t>
      </w:r>
    </w:p>
    <w:p w:rsidR="004C6560" w:rsidRDefault="004C6560">
      <w:pPr>
        <w:widowControl w:val="0"/>
        <w:numPr>
          <w:ilvl w:val="0"/>
          <w:numId w:val="1"/>
        </w:numPr>
        <w:tabs>
          <w:tab w:val="left" w:pos="4140"/>
        </w:tabs>
        <w:jc w:val="center"/>
        <w:rPr>
          <w:sz w:val="28"/>
          <w:szCs w:val="28"/>
        </w:rPr>
      </w:pPr>
    </w:p>
    <w:p w:rsidR="004C6560" w:rsidRDefault="004C6560">
      <w:pPr>
        <w:widowControl w:val="0"/>
        <w:numPr>
          <w:ilvl w:val="0"/>
          <w:numId w:val="1"/>
        </w:numPr>
        <w:tabs>
          <w:tab w:val="left" w:pos="4140"/>
        </w:tabs>
        <w:jc w:val="center"/>
        <w:rPr>
          <w:sz w:val="28"/>
          <w:szCs w:val="28"/>
        </w:rPr>
      </w:pPr>
    </w:p>
    <w:p w:rsidR="004C6560" w:rsidRDefault="004C6560">
      <w:pPr>
        <w:widowControl w:val="0"/>
        <w:numPr>
          <w:ilvl w:val="0"/>
          <w:numId w:val="1"/>
        </w:numPr>
        <w:tabs>
          <w:tab w:val="left" w:pos="4140"/>
        </w:tabs>
        <w:jc w:val="center"/>
        <w:rPr>
          <w:sz w:val="28"/>
          <w:szCs w:val="28"/>
        </w:rPr>
      </w:pPr>
    </w:p>
    <w:p w:rsidR="004C6560" w:rsidRDefault="00C22CDD">
      <w:pPr>
        <w:tabs>
          <w:tab w:val="left" w:pos="3045"/>
        </w:tabs>
        <w:spacing w:line="240" w:lineRule="exact"/>
        <w:jc w:val="center"/>
      </w:pPr>
      <w:r>
        <w:rPr>
          <w:sz w:val="28"/>
          <w:szCs w:val="28"/>
        </w:rPr>
        <w:t xml:space="preserve">Об утверждении перечня товарных рынков и плана мероприятий («дорожной карты») по содействию развитию конкуренции в городе </w:t>
      </w:r>
      <w:r>
        <w:rPr>
          <w:sz w:val="28"/>
        </w:rPr>
        <w:t>Невинномысске</w:t>
      </w:r>
      <w:r>
        <w:rPr>
          <w:sz w:val="28"/>
          <w:szCs w:val="28"/>
        </w:rPr>
        <w:t xml:space="preserve"> Ставропольского края на 2026-2030 годы</w:t>
      </w:r>
    </w:p>
    <w:p w:rsidR="004C6560" w:rsidRDefault="004C6560">
      <w:pPr>
        <w:jc w:val="both"/>
        <w:rPr>
          <w:sz w:val="28"/>
          <w:szCs w:val="28"/>
        </w:rPr>
      </w:pPr>
    </w:p>
    <w:p w:rsidR="004C6560" w:rsidRDefault="00C22CDD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  <w:szCs w:val="22"/>
        </w:rPr>
        <w:t>распоряжениями Правительства Российской Федерации от 17 апреля 2019 г. № 768-р «Об утверждении стандарта развития конкуренции в субъектах Российской Федерации»,                              от 08 октября 2025 г. № 2816-р «Об утверждении Национального плана «дорожной карты» развития конкуренции в Российской Федерации               на 2026 – 2030 годы»,</w:t>
      </w:r>
      <w:r>
        <w:rPr>
          <w:sz w:val="28"/>
        </w:rPr>
        <w:t xml:space="preserve"> распоряжениями Губернатора Ставропольского края от 01 февраля 2015 г. № 46-р «О внедрении стандарта развития конкуренции в субъектах Российской Федерации в Ставропольском крае», </w:t>
      </w:r>
      <w:r>
        <w:rPr>
          <w:sz w:val="28"/>
          <w:szCs w:val="22"/>
        </w:rPr>
        <w:t>от 10 сентября    2019 г. № 466-р «О некоторых мерах по внедрению стандарта развития конкуренции в субъектах Российской Федерации в Ставропольском крае»</w:t>
      </w:r>
      <w:r>
        <w:rPr>
          <w:sz w:val="28"/>
        </w:rPr>
        <w:t xml:space="preserve"> и в целях создания условий для развития конкуренции на приоритетных и социально значимых рынках товаров, работ и услуг в городе Невинномысске </w:t>
      </w:r>
      <w:r>
        <w:rPr>
          <w:spacing w:val="24"/>
          <w:sz w:val="28"/>
        </w:rPr>
        <w:t>постановляю</w:t>
      </w:r>
      <w:r>
        <w:rPr>
          <w:sz w:val="28"/>
        </w:rPr>
        <w:t>:</w:t>
      </w:r>
    </w:p>
    <w:p w:rsidR="004C6560" w:rsidRDefault="004C6560">
      <w:pPr>
        <w:ind w:firstLine="709"/>
        <w:jc w:val="both"/>
        <w:rPr>
          <w:sz w:val="28"/>
          <w:szCs w:val="28"/>
        </w:rPr>
      </w:pPr>
    </w:p>
    <w:p w:rsidR="004C6560" w:rsidRDefault="00C22CDD">
      <w:p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Утвердить:</w:t>
      </w:r>
    </w:p>
    <w:p w:rsidR="004C6560" w:rsidRDefault="00C22CDD">
      <w:pPr>
        <w:ind w:firstLine="709"/>
        <w:jc w:val="both"/>
        <w:rPr>
          <w:sz w:val="28"/>
        </w:rPr>
      </w:pPr>
      <w:r>
        <w:rPr>
          <w:sz w:val="28"/>
          <w:szCs w:val="28"/>
        </w:rPr>
        <w:t>1.1. Перечень товарных рынков для содействия развитию конкуренции в городе Невинномысске согласно приложению 1 к настоящему п</w:t>
      </w:r>
      <w:r>
        <w:rPr>
          <w:sz w:val="28"/>
        </w:rPr>
        <w:t>остановлению;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</w:rPr>
        <w:t>1.2. План мероприятий («дорожная карта») по содействию развитию конкуренции в городе Невинномысске согласно приложению 2 к настоящему постановлению.</w:t>
      </w:r>
    </w:p>
    <w:p w:rsidR="004C6560" w:rsidRDefault="00C22C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утратившими силу постановления администрации города Невинномысска: 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05 сентября 2019 г. № 1567 «О некоторых мерах по внедрению стандарта развития конкуренции в городе Невинномысске»;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29 декабря 2021 г. № 2297 «О внесении изменений в постановление администрации города Невинномысска от 05.09.2019 № 1567»;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от 27 сентября 2022 г. № 1454 «О внесении изменений в постановление администрации города Невинномысска от 05.09.2019 № 1567»;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07 сентября 2023 г. № 1253 «О внесении изменений в постановление администрации города Невинномысска от 27.09.2022 № 1454»;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17 октября 2024 г. № 1323 «О внесении изменений в постановление администрации города Невинномысска от 07.09.2023 № 1253»;</w:t>
      </w:r>
    </w:p>
    <w:p w:rsidR="004C6560" w:rsidRDefault="00C22CDD">
      <w:pPr>
        <w:tabs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11 ноября 2025 г. № 1384 «О внесении изменений в постановление администрации города Невинномысска от 05.09.2019 № 1567».</w:t>
      </w:r>
    </w:p>
    <w:p w:rsidR="004C6560" w:rsidRDefault="00C22CDD">
      <w:pPr>
        <w:tabs>
          <w:tab w:val="left" w:pos="1134"/>
        </w:tabs>
        <w:ind w:firstLine="709"/>
        <w:jc w:val="both"/>
        <w:rPr>
          <w:sz w:val="36"/>
          <w:szCs w:val="36"/>
          <w:highlight w:val="yellow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szCs w:val="22"/>
        </w:rPr>
        <w:t>Обнародовать настоящее постановление путем его размещения в сетевом издании «Редакция городской газеты «Невинномысский рабочий» и на официальном сайте администрации города Невинномысска в информационно-телекоммуникационной сети Интернет.</w:t>
      </w:r>
    </w:p>
    <w:p w:rsidR="004C6560" w:rsidRDefault="00C22CDD">
      <w:pPr>
        <w:tabs>
          <w:tab w:val="left" w:pos="1134"/>
        </w:tabs>
        <w:ind w:firstLine="709"/>
        <w:jc w:val="both"/>
        <w:rPr>
          <w:szCs w:val="28"/>
        </w:rPr>
      </w:pPr>
      <w:r>
        <w:rPr>
          <w:sz w:val="28"/>
          <w:szCs w:val="28"/>
        </w:rPr>
        <w:t>4. Контроль за исполнением настоящего постановления возложить на заместителя главы администрации города Невинномысска Швец Я.</w:t>
      </w:r>
      <w:r>
        <w:rPr>
          <w:sz w:val="28"/>
        </w:rPr>
        <w:t xml:space="preserve">А. </w:t>
      </w:r>
    </w:p>
    <w:p w:rsidR="004C6560" w:rsidRDefault="004C6560">
      <w:pPr>
        <w:tabs>
          <w:tab w:val="left" w:pos="1418"/>
        </w:tabs>
        <w:ind w:firstLine="709"/>
        <w:jc w:val="both"/>
        <w:rPr>
          <w:sz w:val="28"/>
        </w:rPr>
      </w:pPr>
    </w:p>
    <w:p w:rsidR="004C6560" w:rsidRDefault="004C6560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4C6560" w:rsidRDefault="004C6560">
      <w:pPr>
        <w:tabs>
          <w:tab w:val="left" w:pos="1418"/>
        </w:tabs>
        <w:ind w:firstLine="709"/>
        <w:jc w:val="both"/>
        <w:rPr>
          <w:sz w:val="28"/>
          <w:szCs w:val="28"/>
        </w:rPr>
      </w:pPr>
    </w:p>
    <w:p w:rsidR="004C6560" w:rsidRDefault="00C22CDD">
      <w:pPr>
        <w:spacing w:line="240" w:lineRule="exact"/>
        <w:rPr>
          <w:sz w:val="28"/>
          <w:szCs w:val="22"/>
        </w:rPr>
      </w:pPr>
      <w:r>
        <w:rPr>
          <w:sz w:val="28"/>
          <w:szCs w:val="22"/>
        </w:rPr>
        <w:t xml:space="preserve">Временно исполняющий полномочия </w:t>
      </w:r>
    </w:p>
    <w:p w:rsidR="004C6560" w:rsidRDefault="00C22CDD">
      <w:pPr>
        <w:spacing w:line="240" w:lineRule="exact"/>
        <w:rPr>
          <w:sz w:val="28"/>
          <w:szCs w:val="22"/>
        </w:rPr>
      </w:pPr>
      <w:r>
        <w:rPr>
          <w:sz w:val="28"/>
          <w:szCs w:val="22"/>
        </w:rPr>
        <w:t>главы города Невинномысска</w:t>
      </w:r>
    </w:p>
    <w:p w:rsidR="004C6560" w:rsidRDefault="00C22CDD">
      <w:pPr>
        <w:spacing w:line="240" w:lineRule="exact"/>
        <w:rPr>
          <w:sz w:val="28"/>
          <w:szCs w:val="22"/>
        </w:rPr>
      </w:pPr>
      <w:r>
        <w:rPr>
          <w:sz w:val="28"/>
          <w:szCs w:val="22"/>
        </w:rPr>
        <w:t>Ставропольского края</w:t>
      </w:r>
      <w:r>
        <w:rPr>
          <w:sz w:val="28"/>
          <w:szCs w:val="22"/>
        </w:rPr>
        <w:tab/>
      </w:r>
      <w:r>
        <w:rPr>
          <w:sz w:val="44"/>
          <w:szCs w:val="32"/>
        </w:rPr>
        <w:tab/>
      </w:r>
      <w:r>
        <w:rPr>
          <w:sz w:val="28"/>
          <w:szCs w:val="22"/>
        </w:rPr>
        <w:tab/>
      </w:r>
      <w:r>
        <w:rPr>
          <w:sz w:val="28"/>
          <w:szCs w:val="22"/>
        </w:rPr>
        <w:tab/>
      </w:r>
      <w:r>
        <w:rPr>
          <w:sz w:val="32"/>
          <w:szCs w:val="22"/>
        </w:rPr>
        <w:tab/>
      </w:r>
      <w:r>
        <w:rPr>
          <w:sz w:val="32"/>
          <w:szCs w:val="22"/>
        </w:rPr>
        <w:tab/>
      </w:r>
      <w:r>
        <w:rPr>
          <w:sz w:val="28"/>
          <w:szCs w:val="22"/>
        </w:rPr>
        <w:tab/>
        <w:t xml:space="preserve">        В.Э. Соколюк</w:t>
      </w:r>
    </w:p>
    <w:p w:rsidR="004C6560" w:rsidRDefault="004C6560">
      <w:pPr>
        <w:pStyle w:val="aff2"/>
        <w:spacing w:line="240" w:lineRule="exact"/>
        <w:rPr>
          <w:sz w:val="32"/>
          <w:szCs w:val="22"/>
        </w:rPr>
      </w:pPr>
    </w:p>
    <w:p w:rsidR="004C6560" w:rsidRDefault="004C6560">
      <w:pPr>
        <w:sectPr w:rsidR="004C6560">
          <w:pgSz w:w="11907" w:h="16840"/>
          <w:pgMar w:top="1276" w:right="567" w:bottom="1134" w:left="1985" w:header="720" w:footer="397" w:gutter="0"/>
          <w:cols w:space="1701"/>
          <w:titlePg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4"/>
        <w:gridCol w:w="4110"/>
      </w:tblGrid>
      <w:tr w:rsidR="004C6560">
        <w:tc>
          <w:tcPr>
            <w:tcW w:w="5524" w:type="dxa"/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560" w:rsidRDefault="004C6560">
            <w:pPr>
              <w:widowControl w:val="0"/>
              <w:suppressLineNumbers/>
              <w:tabs>
                <w:tab w:val="left" w:pos="924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110" w:type="dxa"/>
            <w:shd w:val="clear" w:color="FFFFFF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4C6560" w:rsidRDefault="00C22CDD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4C6560" w:rsidRDefault="004C6560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</w:p>
          <w:p w:rsidR="004C6560" w:rsidRDefault="00C22CDD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</w:t>
            </w:r>
          </w:p>
          <w:p w:rsidR="004C6560" w:rsidRDefault="00C22CDD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Невинномысска</w:t>
            </w:r>
          </w:p>
          <w:p w:rsidR="007E7868" w:rsidRDefault="007E7868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28.09.2026 №1417</w:t>
            </w:r>
          </w:p>
          <w:p w:rsidR="004C6560" w:rsidRDefault="004C6560" w:rsidP="007E7868">
            <w:pPr>
              <w:spacing w:before="57" w:after="57"/>
              <w:rPr>
                <w:sz w:val="28"/>
                <w:szCs w:val="28"/>
              </w:rPr>
            </w:pPr>
          </w:p>
        </w:tc>
      </w:tr>
    </w:tbl>
    <w:p w:rsidR="004C6560" w:rsidRDefault="004C6560">
      <w:pPr>
        <w:rPr>
          <w:sz w:val="28"/>
          <w:szCs w:val="28"/>
        </w:rPr>
      </w:pPr>
    </w:p>
    <w:p w:rsidR="004C6560" w:rsidRDefault="004C6560">
      <w:pPr>
        <w:jc w:val="center"/>
        <w:rPr>
          <w:sz w:val="28"/>
        </w:rPr>
      </w:pPr>
    </w:p>
    <w:p w:rsidR="004C6560" w:rsidRDefault="00C22CDD">
      <w:pPr>
        <w:spacing w:line="283" w:lineRule="exact"/>
        <w:jc w:val="center"/>
        <w:rPr>
          <w:sz w:val="28"/>
          <w:szCs w:val="28"/>
        </w:rPr>
      </w:pPr>
      <w:r>
        <w:rPr>
          <w:sz w:val="28"/>
        </w:rPr>
        <w:t>ПЕРЕЧЕНЬ</w:t>
      </w:r>
    </w:p>
    <w:p w:rsidR="004C6560" w:rsidRDefault="004C6560">
      <w:pPr>
        <w:spacing w:line="283" w:lineRule="exact"/>
        <w:jc w:val="center"/>
        <w:rPr>
          <w:sz w:val="28"/>
          <w:szCs w:val="28"/>
        </w:rPr>
      </w:pPr>
    </w:p>
    <w:p w:rsidR="004C6560" w:rsidRDefault="00C22CDD">
      <w:pPr>
        <w:spacing w:line="240" w:lineRule="exact"/>
        <w:ind w:left="-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товарных рынков для содействия развитию конкуренции в городе </w:t>
      </w:r>
    </w:p>
    <w:p w:rsidR="004C6560" w:rsidRDefault="00C22CDD">
      <w:pPr>
        <w:spacing w:line="240" w:lineRule="exact"/>
        <w:ind w:left="-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Невинномысске Ставропольского края на 2026-2030 годы </w:t>
      </w:r>
    </w:p>
    <w:p w:rsidR="004C6560" w:rsidRDefault="004C6560">
      <w:pPr>
        <w:spacing w:line="283" w:lineRule="exact"/>
        <w:jc w:val="center"/>
        <w:rPr>
          <w:sz w:val="28"/>
          <w:szCs w:val="28"/>
        </w:rPr>
      </w:pPr>
    </w:p>
    <w:p w:rsidR="004C6560" w:rsidRDefault="004C6560">
      <w:pPr>
        <w:spacing w:line="20" w:lineRule="exact"/>
        <w:rPr>
          <w:sz w:val="28"/>
          <w:szCs w:val="28"/>
        </w:r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4535"/>
        <w:gridCol w:w="4110"/>
      </w:tblGrid>
      <w:tr w:rsidR="004C6560">
        <w:trPr>
          <w:trHeight w:val="617"/>
          <w:tblHeader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№</w:t>
            </w:r>
          </w:p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Наименование</w:t>
            </w:r>
          </w:p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товарного рынка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Ответственный исполнитель</w:t>
            </w:r>
          </w:p>
        </w:tc>
      </w:tr>
      <w:tr w:rsidR="004C6560">
        <w:trPr>
          <w:trHeight w:val="251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3</w:t>
            </w:r>
          </w:p>
        </w:tc>
      </w:tr>
      <w:tr w:rsidR="004C6560">
        <w:trPr>
          <w:trHeight w:val="55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управление экономического развития администрации города Невинномысска </w:t>
            </w:r>
          </w:p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(далее – управление экономического развития), отдел по торговле и бытовому обслуживанию администрации города Невинномысска </w:t>
            </w:r>
          </w:p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(далее – отдел по торговле)</w:t>
            </w:r>
          </w:p>
        </w:tc>
      </w:tr>
      <w:tr w:rsidR="004C6560">
        <w:trPr>
          <w:trHeight w:val="549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ind w:firstLine="29"/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</w:rPr>
            </w:pPr>
            <w:r>
              <w:rPr>
                <w:szCs w:val="24"/>
              </w:rPr>
              <w:t>Рынок услуг связи, в том числе услуг по представлению широкополосного доступа к информационно-телекоммуникационной сети «Интернет»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 xml:space="preserve">управление жилищно-коммунального хозяйства администрации города Невинномысска </w:t>
            </w:r>
          </w:p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(далее – управление жилищно-коммунального хозяйства)</w:t>
            </w:r>
          </w:p>
        </w:tc>
      </w:tr>
      <w:tr w:rsidR="004C6560">
        <w:trPr>
          <w:trHeight w:val="54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оказания медицинских услуг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развития, отдел по торговле</w:t>
            </w:r>
          </w:p>
        </w:tc>
      </w:tr>
      <w:tr w:rsidR="004C6560">
        <w:trPr>
          <w:trHeight w:val="11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отдел по торговле</w:t>
            </w:r>
          </w:p>
        </w:tc>
      </w:tr>
      <w:tr w:rsidR="004C6560">
        <w:trPr>
          <w:trHeight w:val="128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оказания услуг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</w:tc>
      </w:tr>
      <w:tr w:rsidR="004C6560">
        <w:trPr>
          <w:trHeight w:val="9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</w:pPr>
            <w:r>
              <w:rPr>
                <w:szCs w:val="24"/>
              </w:rPr>
              <w:t>управление жилищно-коммунального хозяйства</w:t>
            </w:r>
          </w:p>
        </w:tc>
      </w:tr>
    </w:tbl>
    <w:p w:rsidR="004C6560" w:rsidRDefault="004C6560"/>
    <w:p w:rsidR="004C6560" w:rsidRDefault="004C6560">
      <w:pPr>
        <w:sectPr w:rsidR="004C6560">
          <w:headerReference w:type="default" r:id="rId8"/>
          <w:type w:val="continuous"/>
          <w:pgSz w:w="11906" w:h="16838"/>
          <w:pgMar w:top="1134" w:right="567" w:bottom="1134" w:left="1563" w:header="709" w:footer="709" w:gutter="0"/>
          <w:cols w:space="1701"/>
          <w:titlePg/>
          <w:docGrid w:linePitch="360"/>
        </w:sectPr>
      </w:pPr>
    </w:p>
    <w:tbl>
      <w:tblPr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4535"/>
        <w:gridCol w:w="4110"/>
      </w:tblGrid>
      <w:tr w:rsidR="004C6560">
        <w:trPr>
          <w:trHeight w:val="276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</w:t>
            </w:r>
          </w:p>
        </w:tc>
        <w:tc>
          <w:tcPr>
            <w:tcW w:w="4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</w:tr>
      <w:tr w:rsidR="004C656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торговли продовольственными товарами в неспециализированных магазинах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отдел по торговле</w:t>
            </w:r>
          </w:p>
          <w:p w:rsidR="004C6560" w:rsidRDefault="004C656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4C6560">
        <w:trPr>
          <w:trHeight w:val="9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гостиничных услуг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управление экономического развития</w:t>
            </w:r>
          </w:p>
        </w:tc>
      </w:tr>
      <w:tr w:rsidR="004C656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Рынок оказания услуг по общественному питанию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Cs w:val="24"/>
              </w:rPr>
              <w:t>отдел по торговле</w:t>
            </w:r>
          </w:p>
          <w:p w:rsidR="004C6560" w:rsidRDefault="004C6560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4C6560" w:rsidRDefault="004C6560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4C6560" w:rsidRDefault="004C6560">
      <w:pPr>
        <w:rPr>
          <w:sz w:val="28"/>
          <w:szCs w:val="28"/>
        </w:rPr>
      </w:pPr>
    </w:p>
    <w:p w:rsidR="004C6560" w:rsidRDefault="004C6560">
      <w:pPr>
        <w:ind w:left="425"/>
        <w:rPr>
          <w:sz w:val="28"/>
          <w:szCs w:val="28"/>
        </w:rPr>
      </w:pPr>
    </w:p>
    <w:p w:rsidR="004C6560" w:rsidRDefault="004C6560">
      <w:pPr>
        <w:ind w:left="425"/>
        <w:rPr>
          <w:sz w:val="28"/>
          <w:szCs w:val="28"/>
        </w:rPr>
      </w:pPr>
    </w:p>
    <w:p w:rsidR="004C6560" w:rsidRDefault="00C22CDD">
      <w:pPr>
        <w:spacing w:line="240" w:lineRule="exact"/>
        <w:ind w:left="283"/>
        <w:rPr>
          <w:sz w:val="28"/>
        </w:rPr>
      </w:pPr>
      <w:r>
        <w:rPr>
          <w:sz w:val="28"/>
        </w:rPr>
        <w:t xml:space="preserve">Первый заместитель главы </w:t>
      </w:r>
    </w:p>
    <w:p w:rsidR="004C6560" w:rsidRDefault="00C22CDD">
      <w:pPr>
        <w:spacing w:line="240" w:lineRule="exact"/>
        <w:ind w:left="283"/>
        <w:rPr>
          <w:sz w:val="28"/>
          <w:highlight w:val="yellow"/>
        </w:rPr>
      </w:pPr>
      <w:r>
        <w:rPr>
          <w:sz w:val="28"/>
        </w:rPr>
        <w:t>администрации города Невинномысска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Е.С. Евдоченко</w:t>
      </w:r>
    </w:p>
    <w:p w:rsidR="004C6560" w:rsidRDefault="004C6560">
      <w:pPr>
        <w:tabs>
          <w:tab w:val="left" w:pos="900"/>
        </w:tabs>
        <w:ind w:left="283"/>
        <w:rPr>
          <w:szCs w:val="28"/>
        </w:rPr>
      </w:pPr>
    </w:p>
    <w:p w:rsidR="004C6560" w:rsidRDefault="004C6560">
      <w:pPr>
        <w:sectPr w:rsidR="004C6560">
          <w:headerReference w:type="default" r:id="rId9"/>
          <w:headerReference w:type="first" r:id="rId10"/>
          <w:pgSz w:w="11906" w:h="16838"/>
          <w:pgMar w:top="1134" w:right="567" w:bottom="1134" w:left="1418" w:header="709" w:footer="709" w:gutter="0"/>
          <w:pgNumType w:start="1"/>
          <w:cols w:space="1701"/>
          <w:docGrid w:linePitch="360"/>
        </w:sectPr>
      </w:pPr>
    </w:p>
    <w:p w:rsidR="004C6560" w:rsidRDefault="004C6560">
      <w:pPr>
        <w:spacing w:line="240" w:lineRule="exact"/>
        <w:ind w:right="-456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54"/>
        <w:gridCol w:w="4288"/>
      </w:tblGrid>
      <w:tr w:rsidR="004C6560">
        <w:tc>
          <w:tcPr>
            <w:tcW w:w="1045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C6560" w:rsidRDefault="004C6560">
            <w:pPr>
              <w:widowControl w:val="0"/>
              <w:tabs>
                <w:tab w:val="left" w:pos="9240"/>
              </w:tabs>
              <w:jc w:val="center"/>
              <w:rPr>
                <w:sz w:val="28"/>
              </w:rPr>
            </w:pPr>
          </w:p>
        </w:tc>
        <w:tc>
          <w:tcPr>
            <w:tcW w:w="428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C6560" w:rsidRDefault="004C6560">
            <w:pPr>
              <w:tabs>
                <w:tab w:val="left" w:pos="9180"/>
                <w:tab w:val="left" w:pos="9360"/>
              </w:tabs>
              <w:spacing w:before="57" w:after="57" w:line="240" w:lineRule="exact"/>
              <w:rPr>
                <w:sz w:val="28"/>
                <w:szCs w:val="28"/>
              </w:rPr>
            </w:pPr>
          </w:p>
          <w:p w:rsidR="004C6560" w:rsidRDefault="00C22CDD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4C6560" w:rsidRDefault="004C6560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</w:p>
          <w:p w:rsidR="004C6560" w:rsidRDefault="00C22CDD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города Невинномысска</w:t>
            </w:r>
          </w:p>
          <w:p w:rsidR="007E7868" w:rsidRDefault="007E7868">
            <w:pPr>
              <w:tabs>
                <w:tab w:val="left" w:pos="9180"/>
                <w:tab w:val="left" w:pos="9360"/>
              </w:tabs>
              <w:spacing w:line="240" w:lineRule="exact"/>
              <w:jc w:val="center"/>
              <w:rPr>
                <w:sz w:val="28"/>
              </w:rPr>
            </w:pPr>
            <w:r>
              <w:rPr>
                <w:sz w:val="28"/>
                <w:szCs w:val="28"/>
              </w:rPr>
              <w:t>от 28.09.2026 №1417</w:t>
            </w:r>
          </w:p>
          <w:p w:rsidR="004C6560" w:rsidRDefault="004C6560">
            <w:pPr>
              <w:jc w:val="center"/>
              <w:rPr>
                <w:sz w:val="28"/>
              </w:rPr>
            </w:pPr>
          </w:p>
        </w:tc>
      </w:tr>
    </w:tbl>
    <w:p w:rsidR="004C6560" w:rsidRDefault="004C6560">
      <w:pPr>
        <w:widowControl w:val="0"/>
        <w:ind w:left="-284" w:right="567"/>
        <w:jc w:val="right"/>
        <w:rPr>
          <w:sz w:val="28"/>
          <w:szCs w:val="28"/>
        </w:rPr>
      </w:pPr>
    </w:p>
    <w:p w:rsidR="004C6560" w:rsidRDefault="004C6560">
      <w:pPr>
        <w:widowControl w:val="0"/>
        <w:ind w:left="-284" w:right="567"/>
        <w:jc w:val="right"/>
        <w:rPr>
          <w:sz w:val="28"/>
          <w:szCs w:val="28"/>
        </w:rPr>
      </w:pPr>
    </w:p>
    <w:p w:rsidR="004C6560" w:rsidRDefault="004C6560"/>
    <w:p w:rsidR="004C6560" w:rsidRDefault="004C6560">
      <w:pPr>
        <w:widowControl w:val="0"/>
        <w:ind w:left="-284" w:right="567"/>
        <w:jc w:val="right"/>
        <w:rPr>
          <w:sz w:val="28"/>
          <w:szCs w:val="28"/>
        </w:rPr>
      </w:pPr>
    </w:p>
    <w:p w:rsidR="004C6560" w:rsidRDefault="00C22CDD">
      <w:pPr>
        <w:widowControl w:val="0"/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4C6560" w:rsidRDefault="00C22CDD">
      <w:pPr>
        <w:spacing w:line="240" w:lineRule="exact"/>
        <w:ind w:left="-85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(«дорожной карты») по содействию развитию конкуренции в городе Невинномысске </w:t>
      </w:r>
    </w:p>
    <w:p w:rsidR="004C6560" w:rsidRDefault="00C22CDD">
      <w:pPr>
        <w:spacing w:line="240" w:lineRule="exact"/>
        <w:ind w:left="-850"/>
        <w:jc w:val="center"/>
        <w:rPr>
          <w:sz w:val="28"/>
          <w:szCs w:val="28"/>
        </w:rPr>
      </w:pPr>
      <w:r>
        <w:rPr>
          <w:sz w:val="28"/>
          <w:szCs w:val="28"/>
        </w:rPr>
        <w:t>Ставропольского края на 2026-2030 годы</w:t>
      </w:r>
    </w:p>
    <w:p w:rsidR="004C6560" w:rsidRDefault="004C6560">
      <w:pPr>
        <w:widowControl w:val="0"/>
        <w:spacing w:line="283" w:lineRule="exact"/>
        <w:jc w:val="center"/>
        <w:rPr>
          <w:sz w:val="28"/>
          <w:szCs w:val="28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8"/>
        <w:gridCol w:w="2268"/>
        <w:gridCol w:w="2693"/>
        <w:gridCol w:w="1701"/>
        <w:gridCol w:w="2693"/>
        <w:gridCol w:w="1700"/>
        <w:gridCol w:w="2127"/>
      </w:tblGrid>
      <w:tr w:rsidR="004C6560">
        <w:trPr>
          <w:trHeight w:val="117"/>
          <w:tblHeader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Наименование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left w:w="28" w:type="dxa"/>
              <w:bottom w:w="57" w:type="dxa"/>
              <w:right w:w="28" w:type="dxa"/>
            </w:tcMar>
            <w:vAlign w:val="center"/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Решаемая проблема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Вид документа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Ожидаемый результат исполнения</w:t>
            </w:r>
          </w:p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мероприятия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Срок исполнения мероприятия</w:t>
            </w:r>
          </w:p>
          <w:p w:rsidR="004C6560" w:rsidRDefault="004C6560">
            <w:pPr>
              <w:jc w:val="center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13" w:type="dxa"/>
              <w:left w:w="28" w:type="dxa"/>
              <w:bottom w:w="113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</w:t>
            </w:r>
          </w:p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исполнитель мероприятия</w:t>
            </w:r>
          </w:p>
          <w:p w:rsidR="004C6560" w:rsidRDefault="004C6560">
            <w:pPr>
              <w:jc w:val="center"/>
              <w:rPr>
                <w:szCs w:val="24"/>
              </w:rPr>
            </w:pPr>
          </w:p>
        </w:tc>
      </w:tr>
    </w:tbl>
    <w:p w:rsidR="004C6560" w:rsidRDefault="004C6560">
      <w:pPr>
        <w:spacing w:line="20" w:lineRule="exact"/>
        <w:rPr>
          <w:szCs w:val="24"/>
        </w:rPr>
      </w:pPr>
    </w:p>
    <w:tbl>
      <w:tblPr>
        <w:tblW w:w="0" w:type="auto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709"/>
        <w:gridCol w:w="2267"/>
        <w:gridCol w:w="2693"/>
        <w:gridCol w:w="1701"/>
        <w:gridCol w:w="2693"/>
        <w:gridCol w:w="1700"/>
        <w:gridCol w:w="2127"/>
      </w:tblGrid>
      <w:tr w:rsidR="004C6560">
        <w:trPr>
          <w:trHeight w:val="117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</w:tr>
      <w:tr w:rsidR="004C6560"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I. Мероприятия по содействию развитию конкуренции на товарных рынках в городе Невинномысске Ставропольского края</w:t>
            </w:r>
          </w:p>
          <w:p w:rsidR="004C6560" w:rsidRDefault="004C6560">
            <w:pPr>
              <w:rPr>
                <w:szCs w:val="24"/>
              </w:rPr>
            </w:pPr>
          </w:p>
        </w:tc>
      </w:tr>
      <w:tr w:rsidR="004C6560">
        <w:trPr>
          <w:trHeight w:val="503"/>
        </w:trPr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numPr>
                <w:ilvl w:val="0"/>
                <w:numId w:val="9"/>
              </w:numPr>
              <w:jc w:val="center"/>
              <w:rPr>
                <w:szCs w:val="24"/>
              </w:rPr>
            </w:pPr>
            <w:r>
              <w:rPr>
                <w:szCs w:val="24"/>
              </w:rPr>
              <w:t>Рынок производства и реализации сельскохозяйственной продукции, в том числе продукции крестьянских (фермерских) хозяйств</w:t>
            </w:r>
          </w:p>
        </w:tc>
      </w:tr>
      <w:tr w:rsidR="004C6560">
        <w:trPr>
          <w:trHeight w:val="152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Содействие увеличению количества ярмарок, проводимых в городе Невинномысске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давление со стороны крупных торговых сетей, предлагающих более широкий ассортимент сельскохозяйственной продукции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содействие сбалансированному развитию многофункциональной инфраструктуры торговли в городе Невинномысске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управление экономического развития администрации города Невинномысска </w:t>
            </w:r>
          </w:p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(далее – управление экономического </w:t>
            </w:r>
            <w:r>
              <w:rPr>
                <w:szCs w:val="24"/>
              </w:rPr>
              <w:lastRenderedPageBreak/>
              <w:t xml:space="preserve">развития), отдел по торговле и бытовому обслуживанию администрации города Невинномысска </w:t>
            </w:r>
          </w:p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(далее – отдел по торговле)</w:t>
            </w:r>
          </w:p>
        </w:tc>
      </w:tr>
      <w:tr w:rsidR="004C6560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lastRenderedPageBreak/>
              <w:t>1.2.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Мониторинг, разработка и утверждение схемы размещения нестационарных торговых объектов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несбалансированность многофункциональной торговой инфраструктуры на рынке производства и реализации сельскохозяйственной</w:t>
            </w:r>
          </w:p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продукции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отчет об исполнении </w:t>
            </w:r>
            <w:r>
              <w:rPr>
                <w:spacing w:val="-2"/>
                <w:szCs w:val="24"/>
              </w:rPr>
              <w:t>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содействие сбалансированному развитию многофункциональной инфраструктуры торговли в городе Невинномысске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развития, отдел по торговле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436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Мониторинг выполнения нормативов минимальной обеспеченности населения города Невинномысска площадью торговых объектов, утвержденных для  городских округов Ставропольского края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несбалансированность многофункциональной торговой инфраструктуры на рынке производства и реализации сельскохозяйственной</w:t>
            </w:r>
          </w:p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продукции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содействие сбалансированному развитию многофункциональной инфраструктуры на рынке производства и реализации сельскохозяйственной</w:t>
            </w:r>
          </w:p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продукции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развития, отдел по торговле</w:t>
            </w:r>
          </w:p>
          <w:p w:rsidR="004C6560" w:rsidRDefault="004C6560">
            <w:pPr>
              <w:widowControl w:val="0"/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439"/>
        </w:trPr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2. Рынок услуг связи, в том числе услуг по представлению широкополосного доступа к информационно-телекоммуникационной сети «Интернет»</w:t>
            </w:r>
          </w:p>
        </w:tc>
      </w:tr>
      <w:tr w:rsidR="004C6560">
        <w:trPr>
          <w:trHeight w:val="779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мониторинга объема рынка услуг связи и долей хозяйствующих субъектов на рынке услуг связи по предоставлению широкополосного доступа к информационно-телекоммуникационной сети «Интернет» в городе Невинномысске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недостаточное покрытие, низкое качество связи или медленное развитие сети из-за сложностей с поиском мест под оборудование</w:t>
            </w:r>
          </w:p>
          <w:p w:rsidR="004C6560" w:rsidRDefault="004C6560">
            <w:pPr>
              <w:jc w:val="both"/>
              <w:rPr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повышение объема оказанных услуг связи по предоставлению широкополосного доступа к информационно-телекоммуникационной сети «Интернет» в городе Невинномысске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жилищно-коммунального хозяйства администрации города Невинномысска (далее – управление жилищно-коммунального хозяйства)</w:t>
            </w:r>
          </w:p>
        </w:tc>
      </w:tr>
      <w:tr w:rsidR="004C6560">
        <w:trPr>
          <w:trHeight w:val="585"/>
        </w:trPr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3. Рынок оказания медицинских услуг</w:t>
            </w:r>
          </w:p>
        </w:tc>
      </w:tr>
      <w:tr w:rsidR="004C6560">
        <w:trPr>
          <w:trHeight w:val="762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3.1.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Информационно-консультационная поддержка для субъектов предпринимательства, осуществляющих или планирующих осуществлять свою деятельность на рынке оказания медицинских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недостаточный уровень информированности субъектов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размещение информации в открытом доступе, повышение уровня информированности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</w:pPr>
            <w:r>
              <w:rPr>
                <w:szCs w:val="24"/>
              </w:rPr>
              <w:t xml:space="preserve">управление экономического развития, </w:t>
            </w:r>
          </w:p>
          <w:p w:rsidR="004C6560" w:rsidRDefault="00C22CDD">
            <w:pPr>
              <w:widowControl w:val="0"/>
              <w:jc w:val="both"/>
            </w:pPr>
            <w:r>
              <w:rPr>
                <w:szCs w:val="24"/>
              </w:rPr>
              <w:t>отдел по торговле</w:t>
            </w:r>
          </w:p>
          <w:p w:rsidR="004C6560" w:rsidRDefault="004C6560">
            <w:pPr>
              <w:widowControl w:val="0"/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777"/>
        </w:trPr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4. Рынок услуг розничной торговли лекарственными препаратами, медицинскими изделиями и сопутствующими товарами</w:t>
            </w:r>
          </w:p>
        </w:tc>
      </w:tr>
      <w:tr w:rsidR="004C6560">
        <w:trPr>
          <w:trHeight w:val="467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4.1.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Оказание консультационной помощи хозяйствующим субъектам, осуществляющим розничную торговлю лекарственными препаратами, медицинскими изделиями и сопутствующими товарами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недостаточный уровень информированности субъектов предпринимательства о правилах ведения деятельности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повышение доступности ведения деятельности субъектов в сфере торговли лекарственными препаратами, медицинскими изделиями и сопутствующими товарами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торговле</w:t>
            </w:r>
          </w:p>
          <w:p w:rsidR="004C6560" w:rsidRDefault="004C6560">
            <w:pPr>
              <w:rPr>
                <w:szCs w:val="24"/>
              </w:rPr>
            </w:pPr>
          </w:p>
        </w:tc>
      </w:tr>
      <w:tr w:rsidR="004C6560"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5. Рынок оказания услуг по перевозке пассажиров автомобильным транспортом по муниципальным и межмуниципальным маршрутам регулярных перевозок</w:t>
            </w:r>
          </w:p>
        </w:tc>
      </w:tr>
      <w:tr w:rsidR="004C65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Создание условий для недискриминационного доступа хозяйствующих субъектов на рынок оказания услуг по перевозке пассажиров автомобильным транспортом по муниципальным маршрутам регулярных перевозок в городе Невинномысске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</w:pPr>
            <w:r>
              <w:rPr>
                <w:szCs w:val="24"/>
              </w:rPr>
              <w:t xml:space="preserve">недостаточная информированность участников открытого конкурса об условиях работы в сфере пассажирских перевозок, о требованиях, 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 xml:space="preserve">предъявляемых к транспортным средствам, в целях повышения качества обслуживания 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 xml:space="preserve">населения города Невинномысска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создание условий для развития добросовестной конкуренции на рынке оказания услуг по перевозке пассажиров автомобильным транспортом по муниципальным маршрутам регулярных перевозок в городе Невинномысске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625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Размещение на официальном сайте администрации города Невинномысска в информационно-телекоммуникационной сети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 xml:space="preserve">«Интернет» реестра муниципальных маршрутов регулярных перевозок пассажиров и багажа автомобильным транспортом в границах муниципального образования города Невинномысска </w:t>
            </w:r>
          </w:p>
          <w:p w:rsidR="004C6560" w:rsidRDefault="004C6560">
            <w:pPr>
              <w:jc w:val="both"/>
            </w:pPr>
          </w:p>
          <w:p w:rsidR="004C6560" w:rsidRDefault="004C6560">
            <w:pPr>
              <w:jc w:val="both"/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</w:pPr>
            <w:r>
              <w:rPr>
                <w:szCs w:val="24"/>
              </w:rPr>
              <w:t xml:space="preserve">недостаточная информированность участников открытого конкурса об условиях работы в сфере пассажирских перевозок, о требованиях, 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 xml:space="preserve">предъявляемых к транспортным средствам, в целях повышения качества обслуживания 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 xml:space="preserve">населения города Невинномысска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  <w:p w:rsidR="004C6560" w:rsidRDefault="004C6560">
            <w:pPr>
              <w:jc w:val="center"/>
              <w:rPr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обеспечение доступности и прозрачности информации о муниципальных маршрутах регулярных перевозок пассажиров и багажа автомобильным транспортом на территории </w:t>
            </w:r>
            <w:r>
              <w:rPr>
                <w:szCs w:val="24"/>
              </w:rPr>
              <w:tab/>
              <w:t>города Невинномысска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5.3.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Разработка, утверждение и актуализация (при необходимости) документа планирования регулярных перевозок по муниципальным маршрутам регулярных перевозок пассажиров и багажа автомобильным транспортом на территории муниципального образования города Невинномысска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недостаточная развитость маршрутной сети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доступности, повышение качества, эффективности и безопасности оказания услуг по перевозке пассажиров и багажа автомобильным транспортом на территории города Невинномысска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5.4.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Установление либо изменение муниципальных маршрутов регулярных перевозок пассажиров и багажа автомобильным транспортом на территории муниципального образования города Невинномысска с учетом мнения хозяйствующих субъектов частной формы собственности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необходимость установления муниципальных маршрутов с учетом развития малоэтажной застройки</w:t>
            </w:r>
          </w:p>
          <w:p w:rsidR="004C6560" w:rsidRDefault="004C6560">
            <w:pPr>
              <w:widowControl w:val="0"/>
              <w:jc w:val="both"/>
              <w:rPr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развитие муниципальных маршрутов регулярных перевозок на территории муниципального образования города Невинномысска, на которых хозяйствующие субъекты частной формы собственности оказывают услуги по перевозке пассажиров и багажа автомобильным транспортом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  <w:p w:rsidR="004C6560" w:rsidRDefault="004C6560">
            <w:pPr>
              <w:jc w:val="center"/>
              <w:rPr>
                <w:szCs w:val="24"/>
              </w:rPr>
            </w:pPr>
          </w:p>
        </w:tc>
      </w:tr>
      <w:tr w:rsidR="004C6560"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6. Рынок добычи общераспространенных полезных ископаемых на участках недр местного значения</w:t>
            </w:r>
          </w:p>
        </w:tc>
      </w:tr>
      <w:tr w:rsidR="004C65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Мониторинг состояния и развития конкурентной среды на рынке добычи общераспространенных полезных ископаемых на участках недр местного значения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низкий уровень  вовлеченности хозяйствующих субъектов в пользование участками</w:t>
            </w:r>
          </w:p>
          <w:p w:rsidR="004C6560" w:rsidRDefault="004C6560">
            <w:pPr>
              <w:jc w:val="center"/>
              <w:rPr>
                <w:szCs w:val="24"/>
                <w:highlight w:val="white"/>
              </w:rPr>
            </w:pPr>
          </w:p>
          <w:p w:rsidR="004C6560" w:rsidRDefault="004C6560">
            <w:pPr>
              <w:jc w:val="both"/>
              <w:rPr>
                <w:szCs w:val="24"/>
                <w:highlight w:val="whit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отчет об </w:t>
            </w:r>
            <w:r>
              <w:rPr>
                <w:spacing w:val="-2"/>
                <w:szCs w:val="24"/>
                <w:highlight w:val="white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своевременное принятие корректирующих мер по минимизации отрицательных последствий для развития конкуренции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  <w:highlight w:val="white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6.2.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Ведение перечня хозяйствующих субъектов, получивших право пользования участками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низкий уровень  вовлеченности хозяйствующих субъектов в пользование участками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 xml:space="preserve">отчет об </w:t>
            </w:r>
            <w:r>
              <w:rPr>
                <w:spacing w:val="-2"/>
                <w:szCs w:val="24"/>
                <w:highlight w:val="white"/>
              </w:rPr>
              <w:t>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обеспечение доступности                           и прозрачности информации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  <w:highlight w:val="white"/>
              </w:rPr>
            </w:pPr>
            <w:r>
              <w:rPr>
                <w:szCs w:val="24"/>
                <w:highlight w:val="white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  <w:highlight w:val="white"/>
              </w:rPr>
            </w:pPr>
            <w:r>
              <w:rPr>
                <w:szCs w:val="24"/>
              </w:rPr>
              <w:t>управление жилищно-коммунального хозяйства</w:t>
            </w:r>
          </w:p>
        </w:tc>
      </w:tr>
      <w:tr w:rsidR="004C6560"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7. Рынок торговли продовольственными товарами в неспециализированных магазинах</w:t>
            </w:r>
          </w:p>
        </w:tc>
      </w:tr>
      <w:tr w:rsidR="004C65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7.1.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мероприятий по увеличению на территории города Невинномысска количества неспециализированных объектов торговли по реализации продовольственной группы товаров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недостаточное количество неспециализированных объектов торговли по реализации продовольственной группы товаров в городе Невинномысске       </w:t>
            </w:r>
          </w:p>
          <w:p w:rsidR="004C6560" w:rsidRDefault="004C6560">
            <w:pPr>
              <w:widowControl w:val="0"/>
              <w:jc w:val="both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на территории города Невинномысска количества неспециализированных объектов торговли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отдел по торговле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7.2.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Рассмотрение жалоб и обращений предпринимателей в торговле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нарушение правил продажи товаров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повышение качества предоставления услуг в сфере торговли; повышение уровня правовой грамотности предпринимателей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rPr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отдел по торговле</w:t>
            </w:r>
          </w:p>
          <w:p w:rsidR="004C6560" w:rsidRDefault="004C6560">
            <w:pPr>
              <w:rPr>
                <w:szCs w:val="24"/>
              </w:rPr>
            </w:pPr>
          </w:p>
          <w:p w:rsidR="004C6560" w:rsidRDefault="004C6560">
            <w:pPr>
              <w:rPr>
                <w:szCs w:val="24"/>
              </w:rPr>
            </w:pPr>
          </w:p>
        </w:tc>
      </w:tr>
      <w:tr w:rsidR="004C6560">
        <w:trPr>
          <w:trHeight w:val="486"/>
        </w:trPr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8. Рынок гостиничных услуг</w:t>
            </w:r>
          </w:p>
        </w:tc>
      </w:tr>
      <w:tr w:rsidR="004C65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8.1.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</w:pPr>
            <w:r>
              <w:rPr>
                <w:szCs w:val="24"/>
              </w:rPr>
              <w:t>Формирование реестра организаций, осуществляющих деятельность на рынке гостиничных услуг города Невинномысска и его размещение на официальном сайте администрации города Невинномысска  в информационно-телекоммуникационной сети «Интернет»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низкий уровень информированности о деятельности организаций на рынке гостиничных услуг</w:t>
            </w:r>
          </w:p>
          <w:p w:rsidR="004C6560" w:rsidRDefault="004C6560">
            <w:pPr>
              <w:widowControl w:val="0"/>
              <w:jc w:val="both"/>
              <w:rPr>
                <w:szCs w:val="24"/>
              </w:rPr>
            </w:pPr>
          </w:p>
          <w:p w:rsidR="004C6560" w:rsidRDefault="004C6560">
            <w:pPr>
              <w:widowControl w:val="0"/>
              <w:jc w:val="both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повышение информированности граждан и организаций о деятельности  на рынке гостиничных услуг города Невинномысска</w:t>
            </w:r>
          </w:p>
          <w:p w:rsidR="004C6560" w:rsidRDefault="004C6560">
            <w:pPr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управление экономического развития </w:t>
            </w:r>
          </w:p>
          <w:p w:rsidR="004C6560" w:rsidRDefault="004C6560">
            <w:pPr>
              <w:rPr>
                <w:szCs w:val="24"/>
              </w:rPr>
            </w:pP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8.2.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мероприятий, направленных на информирование субъектов предпринимательства, осуществляющих деятельность на рынке гостиничных услуг, о существующих мерах государственной поддержки в сфере гостиничных услуг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низкая информированность субъектов предпринимательства о существующих мерах государственной поддержки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субъектов предпринимательства, осуществляющих деятельность на рынке гостиничных услуг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управление экономического развития </w:t>
            </w:r>
          </w:p>
        </w:tc>
      </w:tr>
      <w:tr w:rsidR="004C6560">
        <w:trPr>
          <w:trHeight w:val="430"/>
        </w:trPr>
        <w:tc>
          <w:tcPr>
            <w:tcW w:w="138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9. Рынок оказания услуг по общественному питанию</w:t>
            </w:r>
          </w:p>
        </w:tc>
      </w:tr>
      <w:tr w:rsidR="004C656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9.1.</w:t>
            </w:r>
          </w:p>
          <w:p w:rsidR="004C6560" w:rsidRDefault="004C6560">
            <w:pPr>
              <w:widowControl w:val="0"/>
              <w:rPr>
                <w:szCs w:val="24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Проведение мероприятий, направленных на информирование субъектов предпринимательства, осуществляющих деятельность на рынке оказания услуг по общественному питанию, о существующих мерах поддержки в сфере оказания услуг по общественному питанию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низкая информированность субъектов предпринимательства, осуществляющих деятельность на рынке оказания услуг по общественному питанию о существующих мерах государственной поддержки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отчет об </w:t>
            </w:r>
            <w:r>
              <w:rPr>
                <w:spacing w:val="-2"/>
                <w:szCs w:val="24"/>
              </w:rPr>
              <w:t>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субъектов предпринимательства, осуществляющих деятельность на рынке оказания услуг по общественному питанию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rPr>
                <w:szCs w:val="24"/>
              </w:rPr>
            </w:pPr>
          </w:p>
          <w:p w:rsidR="004C6560" w:rsidRDefault="004C6560">
            <w:pPr>
              <w:rPr>
                <w:szCs w:val="24"/>
              </w:rPr>
            </w:pPr>
          </w:p>
          <w:p w:rsidR="004C6560" w:rsidRDefault="004C6560">
            <w:pPr>
              <w:rPr>
                <w:szCs w:val="24"/>
              </w:rPr>
            </w:pPr>
          </w:p>
          <w:p w:rsidR="004C6560" w:rsidRDefault="004C6560">
            <w:pPr>
              <w:rPr>
                <w:szCs w:val="24"/>
              </w:rPr>
            </w:pPr>
          </w:p>
          <w:p w:rsidR="004C6560" w:rsidRDefault="004C6560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по торговле</w:t>
            </w:r>
          </w:p>
        </w:tc>
      </w:tr>
      <w:tr w:rsidR="004C6560">
        <w:trPr>
          <w:trHeight w:val="276"/>
        </w:trPr>
        <w:tc>
          <w:tcPr>
            <w:tcW w:w="13890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II. Системные мероприятия, направленные на развитие конкуренции в городе Невинномысске Ставропольского края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10.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Содействие в проведении обучающих семинаров и информирование субъектов малого и среднего предпринимательства города Невинномысска по вопросам предоставления мер поддержки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недостаточный уровень информированности среди начинающих предпринимателей о мерах поддержки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повышение профессионального уровня субъектов малого и среднего предпринимательства; обеспечение равных условий доступа для получения мер поддержки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11.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Развитие инвестиционного портала города Невинномысска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необходимость обеспечения равных условий ведения бизнеса и привлечения инвестиций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равных условий ведения бизнеса на территории города Невинномысска, увеличение объема внебюджетных инвестиций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Организация проведения оценки регулирующего воздействия проектов нормативных правовых актов администрации города Невинномысска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выявление избыточных ограничений для деятельности субъектов предпринимательства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</w:pPr>
            <w:r>
              <w:rPr>
                <w:szCs w:val="24"/>
              </w:rPr>
              <w:t xml:space="preserve">снижение административных барьеров для входа хозяйствующих субъектов на товарные рынки; снижение затрат предпринимателей, связанных с ведением бизнеса на территории города Невинномысска </w:t>
            </w:r>
          </w:p>
          <w:p w:rsidR="004C6560" w:rsidRDefault="004C6560">
            <w:pPr>
              <w:jc w:val="both"/>
            </w:pPr>
          </w:p>
          <w:p w:rsidR="004C6560" w:rsidRDefault="004C6560">
            <w:pPr>
              <w:jc w:val="both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13.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Обеспечение конкуренции между поставщиками, подрядчиками, исполнителями при допуске к участию в закупках товаров, работ, услуг для обеспечения муниципальных нужд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необходимость обеспечения прозрачности и эффективности конкурентных процедур путем сокращения числа контрактов, заключаемых с единственным поставщиком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создание условий для недискриминационного доступа поставщиков к участию в закупках товаров, работ, услуг для обеспечения муниципальных нужд.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>Обеспечение равных условий допуска к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>участию в закупках товаров, работ, услуг с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>соблюдением требований Федерального закона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>от 05 апреля 2013 года     № 44-ФЗ «О контрактной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>системе в сфере закупок товаров, работ, услуг для</w:t>
            </w:r>
          </w:p>
          <w:p w:rsidR="004C6560" w:rsidRDefault="00C22CDD">
            <w:pPr>
              <w:jc w:val="both"/>
            </w:pPr>
            <w:r>
              <w:rPr>
                <w:szCs w:val="24"/>
              </w:rPr>
              <w:t>государственных и муниципальных нужд»</w:t>
            </w:r>
          </w:p>
          <w:p w:rsidR="004C6560" w:rsidRDefault="004C6560">
            <w:pPr>
              <w:jc w:val="both"/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 xml:space="preserve">2026-2030 гг.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tabs>
                <w:tab w:val="left" w:pos="2334"/>
              </w:tabs>
              <w:ind w:left="0" w:right="100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комитет по проведению </w:t>
            </w:r>
            <w:r>
              <w:rPr>
                <w:spacing w:val="-2"/>
                <w:sz w:val="24"/>
                <w:szCs w:val="24"/>
                <w:lang w:val="ru-RU"/>
              </w:rPr>
              <w:t xml:space="preserve">конкурентных процедур администрации города </w:t>
            </w:r>
            <w:r>
              <w:rPr>
                <w:sz w:val="24"/>
                <w:szCs w:val="24"/>
                <w:lang w:val="ru-RU"/>
              </w:rPr>
              <w:t>Невинномысска</w:t>
            </w:r>
            <w:r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(далее</w:t>
            </w:r>
            <w:r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–</w:t>
            </w:r>
            <w:r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 xml:space="preserve">комитет по проведению конкурентных </w:t>
            </w:r>
            <w:r>
              <w:rPr>
                <w:spacing w:val="-2"/>
                <w:sz w:val="24"/>
                <w:szCs w:val="24"/>
                <w:lang w:val="ru-RU"/>
              </w:rPr>
              <w:t>процедур)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4494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14.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Организация системы внутреннего обеспечения соответствия требованиям антимонопольного законодательства деятельности органов администрации города Невинномысска (антимонопольный комплаенс) 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необходимость соблюдения требований антимонопольного законодательства отраслевыми органами и структурными подразделениями администрации города Невинномысска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сокращение количества нарушений антимонопольного законодательства со стороны органов администрации города Невинномысска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развития, правовое управление администрации города Невинномысска (далее – правовое управление)</w:t>
            </w:r>
          </w:p>
        </w:tc>
      </w:tr>
      <w:tr w:rsidR="004C6560">
        <w:trPr>
          <w:trHeight w:val="3745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15.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</w:pPr>
            <w:r>
              <w:rPr>
                <w:sz w:val="24"/>
                <w:szCs w:val="24"/>
                <w:lang w:val="ru-RU"/>
              </w:rPr>
              <w:t>Формирование доклада об антимонопольном</w:t>
            </w:r>
          </w:p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комплаенсе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необходимость соблюдения требований антимонопольного законодательства отраслевыми органами и структурными подразделениями администрации города Невинномысска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доклад об антимонопольном комплаенсе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сокращение количества нарушений антимонопольного законодательства со стороны органов администрации города Невинномысска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развития, правовое управление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27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16.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0"/>
              <w:jc w:val="both"/>
              <w:rPr>
                <w:spacing w:val="-2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Сопровождение инвестиционных проектов, реализуемых на территории города </w:t>
            </w:r>
            <w:r>
              <w:rPr>
                <w:spacing w:val="-2"/>
                <w:sz w:val="24"/>
                <w:szCs w:val="24"/>
                <w:lang w:val="ru-RU"/>
              </w:rPr>
              <w:t>Невинномысска</w:t>
            </w:r>
          </w:p>
          <w:p w:rsidR="004C6560" w:rsidRDefault="004C6560">
            <w:pPr>
              <w:pStyle w:val="TableParagraph"/>
              <w:ind w:left="0" w:right="100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недостаточный уровень информированности среди начинающих предпринимателей о мерах поддержки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объема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внебюджетных </w:t>
            </w:r>
            <w:r>
              <w:rPr>
                <w:spacing w:val="-2"/>
                <w:sz w:val="24"/>
                <w:szCs w:val="24"/>
              </w:rPr>
              <w:t>инвестиций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управление экономического развития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</w:tr>
      <w:tr w:rsidR="004C6560">
        <w:trPr>
          <w:trHeight w:val="223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17.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Методическое и консультационное сопровождение деятельности, связанной с разработкой и рассмотрением предложений о заключении концессионных соглашений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недостаточно эффективное использование имущества, находящегося в муниципальной собственности города Невинномысска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обеспечение взаимодействия органов администрации города Невинномысска при формировании перечня объектов, в отношении которых планируется заключение концессионных соглашений, подготовке органами администрации города Невинномысска предложений о заключении концессионного соглашения, принятии решения о заключении концессионного соглашения, заключении, изменении и прекращении концессионного соглашения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управление жилищно- коммунального хозяйства, комитет</w:t>
            </w:r>
            <w:r>
              <w:rPr>
                <w:sz w:val="24"/>
                <w:szCs w:val="24"/>
                <w:lang w:val="ru-RU"/>
              </w:rPr>
              <w:tab/>
              <w:t>по управлению муниципальным имуществом</w:t>
            </w:r>
          </w:p>
        </w:tc>
      </w:tr>
      <w:tr w:rsidR="004C6560">
        <w:trPr>
          <w:trHeight w:val="4978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18.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Увеличение доли закупок товаров, работ, услуг для муниципальных нужд города Невинномысска у субъектов малого и среднего предпринимательства, социально ориентированных некоммерческих организаций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6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недостаточный уро-вень конкурентоспо-собности субъектов предпринимательства,</w:t>
            </w:r>
          </w:p>
          <w:p w:rsidR="004C6560" w:rsidRDefault="00C22CDD">
            <w:pPr>
              <w:pStyle w:val="TableParagraph"/>
              <w:ind w:left="0" w:right="101"/>
              <w:jc w:val="both"/>
              <w:rPr>
                <w:sz w:val="26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социально ориентиро-ванных некоммерче-ских организаций при осуществлении заку-пок товаров, работ, услуг для обеспечения муниципальных нужд города Невинномысска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увеличение количества поставщиков (подрядчиков, исполнителей) из числа субъектов малого и среднего предпринимательства и количества заключаемых с ними контрактов</w:t>
            </w:r>
          </w:p>
          <w:p w:rsidR="004C6560" w:rsidRPr="007E7868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</w:t>
            </w:r>
            <w:r>
              <w:rPr>
                <w:sz w:val="24"/>
                <w:szCs w:val="24"/>
              </w:rPr>
              <w:tab/>
              <w:t>по проведению конкурентных процедур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</w:tr>
      <w:tr w:rsidR="004C6560" w:rsidTr="001A3CD2">
        <w:trPr>
          <w:trHeight w:val="334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19.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Размещение на официальном сайте администрации города Невинномысска в информационно-телекоммуникационной сети «Интернет» информации о проведении конкурентных процедур по предоставлению во владение и (или пользование) муниципального имущества субъектам малого и среднего предпринимательства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недостаточный уровень прозрачности информации о процедуре распределе-ния муниципального имущества города Невинномысска </w:t>
            </w:r>
          </w:p>
          <w:p w:rsidR="004C6560" w:rsidRPr="007E7868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организация и проведение процедуры торгов по предоставлению во владение и (или пользование) муниципального имущества субъектам малого и среднего предпринимательства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комитет</w:t>
            </w:r>
            <w:r>
              <w:rPr>
                <w:sz w:val="24"/>
                <w:szCs w:val="24"/>
                <w:lang w:val="ru-RU"/>
              </w:rPr>
              <w:tab/>
              <w:t>по управлению муниципальным имуществом</w:t>
            </w:r>
          </w:p>
        </w:tc>
      </w:tr>
      <w:tr w:rsidR="004C6560">
        <w:trPr>
          <w:trHeight w:val="276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20.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Поддержание в актуальном состоянии на официальном сайте администрации города Невинномысска в информационно- телекоммуникационной сети «Интернет» информации о муниципальном имуществе города Невинномысска, в том числе имуществе, включаемом в перечни для предоставления на льготных условиях субъектам малого и среднего предпринимательства</w:t>
            </w:r>
            <w:r>
              <w:rPr>
                <w:sz w:val="24"/>
                <w:szCs w:val="24"/>
                <w:lang w:val="ru-RU"/>
              </w:rPr>
              <w:tab/>
              <w:t xml:space="preserve"> в городе Невинномысске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недостаточно эффек-тивное использование имущества, находяще-гося в муниципальной собственности города Невинномысска </w:t>
            </w:r>
          </w:p>
          <w:p w:rsidR="004C6560" w:rsidRPr="007E7868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обеспечение равных условий доступа к информации о муниципальном имуществе города Невинномысска и имуществе, включаемом в перечни для предоставления на льготных условиях субъектам малого</w:t>
            </w:r>
            <w:r>
              <w:rPr>
                <w:sz w:val="24"/>
                <w:szCs w:val="24"/>
                <w:lang w:val="ru-RU"/>
              </w:rPr>
              <w:tab/>
              <w:t>и среднего предпринимательства в городе Невинномысске</w:t>
            </w:r>
          </w:p>
          <w:p w:rsidR="004C6560" w:rsidRPr="007E7868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</w:t>
            </w:r>
            <w:r>
              <w:rPr>
                <w:sz w:val="24"/>
                <w:szCs w:val="24"/>
              </w:rPr>
              <w:tab/>
              <w:t>по управлению муниципальным имуществом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</w:tr>
      <w:tr w:rsidR="004C6560" w:rsidTr="00BE4636">
        <w:trPr>
          <w:trHeight w:val="609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21.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Увеличение количества нестационарных торговых объектов и торговых мест под них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отсутствие оборудованных и законодательно закрепленных торговых площадей для сбыта товаров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об исполнении мероприятия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содействие сбалансированному развитию многофункциональной инфраструктуры торговли в городе Невинномысске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по торговле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</w:tr>
      <w:tr w:rsidR="004C6560" w:rsidTr="00BE4636">
        <w:trPr>
          <w:trHeight w:val="951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22.</w:t>
            </w:r>
          </w:p>
        </w:tc>
        <w:tc>
          <w:tcPr>
            <w:tcW w:w="2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комплекса мероприятий по</w:t>
            </w:r>
          </w:p>
          <w:p w:rsidR="00BE4636" w:rsidRPr="007E7868" w:rsidRDefault="00BE4636">
            <w:pPr>
              <w:pStyle w:val="TableParagraph"/>
              <w:ind w:left="0" w:right="101"/>
              <w:jc w:val="both"/>
              <w:rPr>
                <w:lang w:val="ru-RU"/>
              </w:rPr>
            </w:pPr>
          </w:p>
          <w:p w:rsidR="004C6560" w:rsidRPr="007E7868" w:rsidRDefault="00C22CDD">
            <w:pPr>
              <w:pStyle w:val="TableParagraph"/>
              <w:ind w:left="0" w:right="101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популяризации</w:t>
            </w:r>
          </w:p>
          <w:p w:rsidR="004C6560" w:rsidRPr="007E7868" w:rsidRDefault="00C22CDD">
            <w:pPr>
              <w:pStyle w:val="TableParagraph"/>
              <w:ind w:left="0" w:right="101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предпринимательской деятельности</w:t>
            </w:r>
          </w:p>
          <w:p w:rsidR="004C6560" w:rsidRDefault="00C22CDD">
            <w:pPr>
              <w:pStyle w:val="TableParagraph"/>
              <w:ind w:left="0" w:right="101"/>
              <w:jc w:val="both"/>
            </w:pPr>
            <w:r>
              <w:rPr>
                <w:sz w:val="24"/>
                <w:szCs w:val="24"/>
              </w:rPr>
              <w:t>на территории</w:t>
            </w:r>
          </w:p>
          <w:p w:rsidR="004C6560" w:rsidRDefault="00C22CDD">
            <w:pPr>
              <w:pStyle w:val="TableParagraph"/>
              <w:ind w:left="0" w:right="101"/>
              <w:jc w:val="both"/>
            </w:pPr>
            <w:r>
              <w:rPr>
                <w:sz w:val="24"/>
                <w:szCs w:val="24"/>
              </w:rPr>
              <w:t>города Невинномысска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недостаточный уровень информированности субъектов предпринимательства</w:t>
            </w:r>
          </w:p>
          <w:p w:rsidR="004C6560" w:rsidRDefault="004C6560">
            <w:pPr>
              <w:jc w:val="both"/>
              <w:rPr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отчет об исполнении мероприятия</w:t>
            </w:r>
          </w:p>
          <w:p w:rsidR="004C6560" w:rsidRDefault="004C6560">
            <w:pPr>
              <w:pStyle w:val="TableParagraph"/>
              <w:ind w:left="0" w:right="101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Pr="007E7868" w:rsidRDefault="00C22CDD" w:rsidP="001A3CD2">
            <w:pPr>
              <w:pStyle w:val="TableParagraph"/>
              <w:ind w:left="0" w:right="101"/>
              <w:jc w:val="both"/>
              <w:rPr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стимулирование предпринимательских инициатив в городе</w:t>
            </w:r>
            <w:r w:rsidR="001A3CD2"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Невинномысске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rPr>
                <w:szCs w:val="24"/>
              </w:rPr>
            </w:pPr>
            <w:r>
              <w:rPr>
                <w:szCs w:val="24"/>
              </w:rPr>
              <w:t>2026-2030 гг.</w:t>
            </w:r>
          </w:p>
          <w:p w:rsidR="004C6560" w:rsidRDefault="004C6560">
            <w:pPr>
              <w:rPr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113" w:type="dxa"/>
              <w:bottom w:w="57" w:type="dxa"/>
              <w:right w:w="113" w:type="dxa"/>
            </w:tcMar>
          </w:tcPr>
          <w:p w:rsidR="004C6560" w:rsidRDefault="00C22CDD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экономического развития</w:t>
            </w:r>
          </w:p>
          <w:p w:rsidR="004C6560" w:rsidRDefault="004C6560">
            <w:pPr>
              <w:pStyle w:val="TableParagraph"/>
              <w:ind w:left="0" w:right="101"/>
              <w:jc w:val="both"/>
              <w:rPr>
                <w:sz w:val="24"/>
                <w:szCs w:val="24"/>
              </w:rPr>
            </w:pPr>
          </w:p>
        </w:tc>
      </w:tr>
    </w:tbl>
    <w:p w:rsidR="004C6560" w:rsidRDefault="004C6560">
      <w:pPr>
        <w:ind w:right="13608"/>
        <w:jc w:val="right"/>
        <w:rPr>
          <w:sz w:val="28"/>
        </w:rPr>
      </w:pPr>
    </w:p>
    <w:p w:rsidR="004C6560" w:rsidRDefault="004C6560">
      <w:pPr>
        <w:ind w:right="13608"/>
        <w:jc w:val="right"/>
        <w:rPr>
          <w:sz w:val="28"/>
        </w:rPr>
      </w:pPr>
    </w:p>
    <w:p w:rsidR="004C6560" w:rsidRDefault="004C6560">
      <w:pPr>
        <w:ind w:right="13608"/>
        <w:jc w:val="right"/>
        <w:rPr>
          <w:sz w:val="28"/>
          <w:szCs w:val="28"/>
        </w:rPr>
      </w:pPr>
    </w:p>
    <w:p w:rsidR="004C6560" w:rsidRDefault="00C22CDD">
      <w:pPr>
        <w:spacing w:line="240" w:lineRule="exact"/>
        <w:ind w:left="709" w:right="-456" w:hanging="1"/>
        <w:rPr>
          <w:sz w:val="28"/>
        </w:rPr>
      </w:pPr>
      <w:r>
        <w:rPr>
          <w:sz w:val="28"/>
        </w:rPr>
        <w:t xml:space="preserve">Первый заместитель главы </w:t>
      </w:r>
    </w:p>
    <w:p w:rsidR="004C6560" w:rsidRDefault="00C22CDD">
      <w:pPr>
        <w:spacing w:line="240" w:lineRule="exact"/>
        <w:ind w:left="709" w:right="-456" w:hanging="1"/>
        <w:rPr>
          <w:sz w:val="28"/>
          <w:szCs w:val="28"/>
        </w:rPr>
      </w:pPr>
      <w:r>
        <w:rPr>
          <w:sz w:val="28"/>
        </w:rPr>
        <w:t>администрации города Невинномысска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DA7989">
        <w:rPr>
          <w:sz w:val="28"/>
        </w:rPr>
        <w:tab/>
      </w:r>
      <w:r w:rsidR="00E07925">
        <w:rPr>
          <w:sz w:val="28"/>
        </w:rPr>
        <w:tab/>
        <w:t xml:space="preserve">                 </w:t>
      </w:r>
      <w:r>
        <w:rPr>
          <w:sz w:val="28"/>
        </w:rPr>
        <w:t xml:space="preserve"> Е.С. Евдоченко</w:t>
      </w:r>
    </w:p>
    <w:p w:rsidR="004C6560" w:rsidRDefault="004C6560">
      <w:pPr>
        <w:spacing w:line="240" w:lineRule="exact"/>
        <w:ind w:left="709" w:right="-456" w:hanging="1"/>
        <w:rPr>
          <w:sz w:val="28"/>
          <w:szCs w:val="28"/>
        </w:rPr>
      </w:pPr>
    </w:p>
    <w:p w:rsidR="004C6560" w:rsidRDefault="004C6560"/>
    <w:p w:rsidR="004C6560" w:rsidRDefault="004C6560">
      <w:pPr>
        <w:sectPr w:rsidR="004C6560" w:rsidSect="00E07925">
          <w:headerReference w:type="default" r:id="rId11"/>
          <w:headerReference w:type="first" r:id="rId12"/>
          <w:pgSz w:w="16840" w:h="11907" w:orient="landscape"/>
          <w:pgMar w:top="567" w:right="1105" w:bottom="709" w:left="1134" w:header="720" w:footer="397" w:gutter="0"/>
          <w:pgNumType w:start="1"/>
          <w:cols w:space="1701"/>
          <w:titlePg/>
          <w:docGrid w:linePitch="360"/>
        </w:sectPr>
      </w:pPr>
    </w:p>
    <w:tbl>
      <w:tblPr>
        <w:tblW w:w="9071" w:type="dxa"/>
        <w:tblInd w:w="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7"/>
        <w:gridCol w:w="5244"/>
      </w:tblGrid>
      <w:tr w:rsidR="004C6560" w:rsidTr="00E64499">
        <w:trPr>
          <w:trHeight w:val="424"/>
        </w:trPr>
        <w:tc>
          <w:tcPr>
            <w:tcW w:w="38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C6560" w:rsidRDefault="004C6560" w:rsidP="00E64499">
            <w:pPr>
              <w:widowControl w:val="0"/>
              <w:tabs>
                <w:tab w:val="left" w:pos="9240"/>
              </w:tabs>
              <w:jc w:val="center"/>
              <w:rPr>
                <w:sz w:val="28"/>
              </w:rPr>
            </w:pP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C6560" w:rsidRDefault="00C22CDD" w:rsidP="00E64499">
            <w:pPr>
              <w:widowControl w:val="0"/>
              <w:tabs>
                <w:tab w:val="left" w:pos="4962"/>
                <w:tab w:val="left" w:pos="9240"/>
              </w:tabs>
              <w:ind w:left="709" w:right="282"/>
              <w:jc w:val="center"/>
              <w:rPr>
                <w:sz w:val="28"/>
                <w:szCs w:val="28"/>
              </w:rPr>
            </w:pPr>
            <w:r>
              <w:rPr>
                <w:sz w:val="28"/>
              </w:rPr>
              <w:t>Приложение 1</w:t>
            </w:r>
          </w:p>
          <w:p w:rsidR="004C6560" w:rsidRDefault="004C6560" w:rsidP="00E64499">
            <w:pPr>
              <w:widowControl w:val="0"/>
              <w:tabs>
                <w:tab w:val="left" w:pos="4962"/>
                <w:tab w:val="left" w:pos="9240"/>
              </w:tabs>
              <w:ind w:left="709" w:right="282"/>
              <w:jc w:val="center"/>
              <w:rPr>
                <w:sz w:val="28"/>
                <w:szCs w:val="28"/>
              </w:rPr>
            </w:pPr>
          </w:p>
        </w:tc>
      </w:tr>
      <w:tr w:rsidR="004C6560" w:rsidTr="00E64499">
        <w:trPr>
          <w:trHeight w:val="914"/>
        </w:trPr>
        <w:tc>
          <w:tcPr>
            <w:tcW w:w="382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C6560" w:rsidRDefault="004C6560" w:rsidP="00E64499">
            <w:pPr>
              <w:widowControl w:val="0"/>
              <w:tabs>
                <w:tab w:val="left" w:pos="9240"/>
              </w:tabs>
              <w:jc w:val="center"/>
              <w:rPr>
                <w:sz w:val="28"/>
              </w:rPr>
            </w:pPr>
          </w:p>
        </w:tc>
        <w:tc>
          <w:tcPr>
            <w:tcW w:w="5244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4C6560" w:rsidRDefault="00C22CDD" w:rsidP="00E64499">
            <w:pPr>
              <w:tabs>
                <w:tab w:val="left" w:pos="4962"/>
                <w:tab w:val="left" w:pos="9180"/>
                <w:tab w:val="left" w:pos="9240"/>
                <w:tab w:val="left" w:pos="9360"/>
              </w:tabs>
              <w:spacing w:before="57" w:after="57" w:line="240" w:lineRule="exact"/>
              <w:ind w:left="709" w:right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Плану мероприятий</w:t>
            </w:r>
          </w:p>
          <w:p w:rsidR="004C6560" w:rsidRDefault="00C22CDD" w:rsidP="00E64499">
            <w:pPr>
              <w:tabs>
                <w:tab w:val="left" w:pos="4962"/>
                <w:tab w:val="left" w:pos="9180"/>
                <w:tab w:val="left" w:pos="9240"/>
                <w:tab w:val="left" w:pos="9360"/>
              </w:tabs>
              <w:spacing w:before="57" w:after="57" w:line="240" w:lineRule="exact"/>
              <w:ind w:left="709" w:right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(«дорожная карта») по содействию развитию конкуренции </w:t>
            </w:r>
          </w:p>
          <w:p w:rsidR="004C6560" w:rsidRDefault="00C22CDD" w:rsidP="00E64499">
            <w:pPr>
              <w:tabs>
                <w:tab w:val="left" w:pos="4962"/>
                <w:tab w:val="left" w:pos="9180"/>
                <w:tab w:val="left" w:pos="9240"/>
                <w:tab w:val="left" w:pos="9360"/>
              </w:tabs>
              <w:spacing w:before="57" w:after="57" w:line="240" w:lineRule="exact"/>
              <w:ind w:left="709" w:right="2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городе Невинномысске</w:t>
            </w:r>
          </w:p>
        </w:tc>
      </w:tr>
    </w:tbl>
    <w:p w:rsidR="004C6560" w:rsidRDefault="004C6560" w:rsidP="00E64499">
      <w:pPr>
        <w:tabs>
          <w:tab w:val="left" w:pos="9240"/>
        </w:tabs>
        <w:jc w:val="right"/>
        <w:rPr>
          <w:sz w:val="28"/>
        </w:rPr>
      </w:pPr>
    </w:p>
    <w:p w:rsidR="004C6560" w:rsidRDefault="004C6560">
      <w:pPr>
        <w:jc w:val="right"/>
        <w:rPr>
          <w:sz w:val="28"/>
        </w:rPr>
      </w:pPr>
    </w:p>
    <w:p w:rsidR="004C6560" w:rsidRDefault="004C6560">
      <w:pPr>
        <w:jc w:val="right"/>
        <w:rPr>
          <w:sz w:val="28"/>
        </w:rPr>
      </w:pPr>
    </w:p>
    <w:p w:rsidR="004C6560" w:rsidRDefault="004C6560">
      <w:pPr>
        <w:jc w:val="right"/>
        <w:rPr>
          <w:sz w:val="28"/>
        </w:rPr>
      </w:pPr>
    </w:p>
    <w:p w:rsidR="004C6560" w:rsidRDefault="004C6560">
      <w:pPr>
        <w:jc w:val="right"/>
        <w:rPr>
          <w:sz w:val="28"/>
        </w:rPr>
      </w:pPr>
    </w:p>
    <w:p w:rsidR="004C6560" w:rsidRDefault="004C6560">
      <w:pPr>
        <w:jc w:val="right"/>
        <w:rPr>
          <w:sz w:val="28"/>
        </w:rPr>
      </w:pPr>
    </w:p>
    <w:p w:rsidR="004C6560" w:rsidRDefault="00C22CDD">
      <w:pPr>
        <w:spacing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4C6560" w:rsidRDefault="004C6560">
      <w:pPr>
        <w:spacing w:line="283" w:lineRule="exact"/>
        <w:jc w:val="center"/>
        <w:rPr>
          <w:sz w:val="28"/>
          <w:szCs w:val="28"/>
        </w:rPr>
      </w:pPr>
    </w:p>
    <w:p w:rsidR="004C6560" w:rsidRDefault="00C22CDD">
      <w:pPr>
        <w:spacing w:line="240" w:lineRule="exact"/>
        <w:ind w:left="-283"/>
        <w:jc w:val="center"/>
        <w:rPr>
          <w:sz w:val="28"/>
          <w:szCs w:val="28"/>
        </w:rPr>
      </w:pPr>
      <w:r>
        <w:rPr>
          <w:sz w:val="28"/>
          <w:szCs w:val="28"/>
        </w:rPr>
        <w:t>о текущей ситуации и проблематике на товарных рынках</w:t>
      </w:r>
    </w:p>
    <w:p w:rsidR="004C6560" w:rsidRDefault="00C22CDD">
      <w:pPr>
        <w:spacing w:line="240" w:lineRule="exact"/>
        <w:ind w:left="-283"/>
        <w:jc w:val="center"/>
        <w:rPr>
          <w:sz w:val="28"/>
          <w:szCs w:val="28"/>
        </w:rPr>
      </w:pPr>
      <w:r>
        <w:rPr>
          <w:sz w:val="28"/>
          <w:szCs w:val="28"/>
        </w:rPr>
        <w:t>в городе Невинномысске</w:t>
      </w:r>
    </w:p>
    <w:p w:rsidR="004C6560" w:rsidRDefault="004C6560">
      <w:pPr>
        <w:spacing w:before="57" w:after="57" w:line="283" w:lineRule="exact"/>
        <w:jc w:val="center"/>
        <w:rPr>
          <w:sz w:val="28"/>
          <w:szCs w:val="28"/>
        </w:rPr>
      </w:pPr>
    </w:p>
    <w:p w:rsidR="004C6560" w:rsidRDefault="00C22CDD">
      <w:pPr>
        <w:spacing w:before="57" w:after="57"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I. Рынок производства и реализации сельскохозяйственной продукции, в том числе продукции крестьянских (фермерских) хозяйств</w:t>
      </w:r>
    </w:p>
    <w:p w:rsidR="004C6560" w:rsidRDefault="004C6560">
      <w:pPr>
        <w:jc w:val="center"/>
        <w:rPr>
          <w:sz w:val="28"/>
          <w:szCs w:val="28"/>
          <w:highlight w:val="yellow"/>
        </w:rPr>
      </w:pPr>
    </w:p>
    <w:p w:rsidR="004C6560" w:rsidRDefault="00C22CDD">
      <w:pPr>
        <w:ind w:firstLine="709"/>
        <w:jc w:val="both"/>
        <w:rPr>
          <w:sz w:val="28"/>
          <w:szCs w:val="28"/>
        </w:rPr>
      </w:pPr>
      <w:r>
        <w:rPr>
          <w:sz w:val="28"/>
        </w:rPr>
        <w:t>В городе Невинномысске по состоянию на 01.01.2026 зарегистрировано 99 субъектов предпринимательской деятельности по реализации сельскохозяйственных организаций, из них в том числе индивидуальных предпринимателей – 56, крестьянских (фермерских) хозяйств – 25.</w:t>
      </w:r>
    </w:p>
    <w:p w:rsidR="004C6560" w:rsidRDefault="00C22CDD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В городе Невинномысске рынок производства и реализации сельскохозяйственной продукции представлен отдельными организациями и индивидуальными предпринимателями, обеспечивающими локальные потребности населения. Основными направлениями являются розничная реализация продукции и деятельность крестьянских (фермерских) хозяйств. </w:t>
      </w:r>
    </w:p>
    <w:p w:rsidR="004C6560" w:rsidRDefault="00C22CDD">
      <w:pPr>
        <w:ind w:firstLine="720"/>
        <w:jc w:val="both"/>
      </w:pPr>
      <w:r>
        <w:rPr>
          <w:sz w:val="28"/>
        </w:rPr>
        <w:t>Основными проблемами развития конкуренции на данном рынке являются отсутствие крупных стабильных каналов сбыта для вовлечения местных товаропроизводителей в конкурентную борьбу и отсутствие прямых взаимосвязей между производителями и потребителями. Одним из решений данной проблемы может стать развитие кооперации для субъектов малого и среднего предпринимательства, реализующих сельскохозяйственную продукцию.</w:t>
      </w:r>
    </w:p>
    <w:p w:rsidR="004C6560" w:rsidRDefault="004C6560">
      <w:pPr>
        <w:spacing w:before="57" w:after="57" w:line="282" w:lineRule="exact"/>
        <w:jc w:val="center"/>
        <w:rPr>
          <w:sz w:val="28"/>
          <w:szCs w:val="28"/>
        </w:rPr>
      </w:pPr>
    </w:p>
    <w:p w:rsidR="004C6560" w:rsidRDefault="00C22CDD">
      <w:pPr>
        <w:spacing w:before="57" w:after="57" w:line="283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II. Рынок услуг связи, в том числе услуг по представлению широкополосного доступа к информационно-телекоммуникационной сети «Интернет»</w:t>
      </w:r>
    </w:p>
    <w:p w:rsidR="004C6560" w:rsidRDefault="004C6560">
      <w:pPr>
        <w:ind w:firstLine="709"/>
        <w:jc w:val="both"/>
        <w:rPr>
          <w:sz w:val="28"/>
          <w:szCs w:val="28"/>
        </w:rPr>
      </w:pPr>
    </w:p>
    <w:p w:rsidR="004C6560" w:rsidRDefault="00C22CDD">
      <w:pPr>
        <w:ind w:firstLine="709"/>
        <w:jc w:val="both"/>
        <w:rPr>
          <w:sz w:val="28"/>
          <w:highlight w:val="yellow"/>
        </w:rPr>
      </w:pPr>
      <w:r>
        <w:rPr>
          <w:sz w:val="28"/>
        </w:rPr>
        <w:t>На территории города Невинномысска действуют 1 оператор местной телефонной связи, 4 оператора подвижной радиотелефонной связи,                           7 операторов, оказывающих телематические услуги связи, 1 оператор кабельного телевещания, филиал Российской телевизионной и радиовещательной сети «Ставропольский краевой радиотелевизионный передающий центр» - филиал обеспечивает население Ставропольского края 20 цифровыми эфирными телевизионными каналами и тремя радиостанциями высокой четкости, 1 государственный оператор, оказывающий услуги почтовой связи.</w:t>
      </w:r>
    </w:p>
    <w:p w:rsidR="004C6560" w:rsidRDefault="00C22CDD">
      <w:pPr>
        <w:ind w:firstLine="720"/>
        <w:jc w:val="both"/>
      </w:pPr>
      <w:r>
        <w:rPr>
          <w:sz w:val="28"/>
        </w:rPr>
        <w:t>Основным барьером осуществления услуг по предоставлению широкополосного доступа к информационно-телекоммуникационной сети Интернет является длительная процедура получения разрешительной документации. В качестве административных барьеров на местном уровне выявлены процедуры по согласованию размещения средств связи на земельных участках, в зданиях и сооружениях, а также сложности при взаимодействии с собственниками помещений жилого фонда, которые иногда предъявляют необоснованные требования или отказывают в размещении оборудования.</w:t>
      </w:r>
    </w:p>
    <w:p w:rsidR="004C6560" w:rsidRDefault="004C6560">
      <w:pPr>
        <w:ind w:firstLine="709"/>
        <w:jc w:val="both"/>
        <w:rPr>
          <w:sz w:val="28"/>
          <w:szCs w:val="28"/>
          <w:highlight w:val="yellow"/>
        </w:rPr>
      </w:pPr>
    </w:p>
    <w:p w:rsidR="004C6560" w:rsidRDefault="00C22CDD">
      <w:pPr>
        <w:ind w:left="360"/>
        <w:jc w:val="center"/>
        <w:rPr>
          <w:sz w:val="28"/>
          <w:szCs w:val="28"/>
        </w:rPr>
      </w:pPr>
      <w:r>
        <w:rPr>
          <w:sz w:val="28"/>
          <w:szCs w:val="28"/>
        </w:rPr>
        <w:t>III. Рынок оказания медицинских услуг</w:t>
      </w:r>
    </w:p>
    <w:p w:rsidR="004C6560" w:rsidRDefault="004C6560">
      <w:pPr>
        <w:ind w:left="360"/>
        <w:jc w:val="center"/>
        <w:rPr>
          <w:sz w:val="28"/>
          <w:szCs w:val="28"/>
        </w:rPr>
      </w:pP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По состоянию на 01 января 2026 года</w:t>
      </w:r>
      <w:r>
        <w:rPr>
          <w:sz w:val="28"/>
          <w:szCs w:val="28"/>
        </w:rPr>
        <w:t xml:space="preserve"> согласно данным Единого реестра субъектов малого и среднего предпринимательства</w:t>
      </w:r>
      <w:r>
        <w:rPr>
          <w:sz w:val="28"/>
        </w:rPr>
        <w:t xml:space="preserve"> на территории города Невинномысска </w:t>
      </w:r>
      <w:r>
        <w:rPr>
          <w:sz w:val="28"/>
          <w:szCs w:val="28"/>
        </w:rPr>
        <w:t>осуществляет свою деятельность</w:t>
      </w:r>
      <w:r>
        <w:rPr>
          <w:sz w:val="28"/>
        </w:rPr>
        <w:t xml:space="preserve"> 51 учреждение, оказывающее медицинские услуги.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Среди них: 3 государственных бюджетных учреждения здравоохранения и 48 организаций частной формы собственности.</w:t>
      </w:r>
    </w:p>
    <w:p w:rsidR="004C6560" w:rsidRDefault="00C22CDD">
      <w:pPr>
        <w:ind w:firstLine="720"/>
        <w:jc w:val="both"/>
      </w:pPr>
      <w:r>
        <w:rPr>
          <w:sz w:val="28"/>
        </w:rPr>
        <w:t>Основными проблемами, влияющими на развитие рынка оказания медицинских услуг, являются необходимость постоянного совершенствования системы внутреннего контроля качества и безопасности медицинской деятельности в медицинских организациях города.</w:t>
      </w:r>
    </w:p>
    <w:p w:rsidR="004C6560" w:rsidRDefault="004C6560">
      <w:pPr>
        <w:jc w:val="both"/>
        <w:rPr>
          <w:sz w:val="28"/>
          <w:szCs w:val="28"/>
          <w:highlight w:val="yellow"/>
        </w:rPr>
      </w:pPr>
    </w:p>
    <w:p w:rsidR="004C6560" w:rsidRDefault="00C22CDD">
      <w:pPr>
        <w:spacing w:before="57" w:after="57" w:line="28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IV. Рынок услуг розничной торговли лекарственными препаратами, медицинскими изделиями и сопутствующими товарами</w:t>
      </w:r>
    </w:p>
    <w:p w:rsidR="004C6560" w:rsidRDefault="004C6560">
      <w:pPr>
        <w:rPr>
          <w:sz w:val="28"/>
          <w:szCs w:val="28"/>
        </w:rPr>
      </w:pP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По состоянию на 01 января 2026 года</w:t>
      </w:r>
      <w:r>
        <w:rPr>
          <w:sz w:val="28"/>
          <w:szCs w:val="28"/>
        </w:rPr>
        <w:t xml:space="preserve"> согласно данным Единого реестра субъектов малого и среднего предпринимательства </w:t>
      </w:r>
      <w:r>
        <w:rPr>
          <w:sz w:val="28"/>
        </w:rPr>
        <w:t xml:space="preserve">на территории города Невинномысска </w:t>
      </w:r>
      <w:r>
        <w:rPr>
          <w:sz w:val="28"/>
          <w:szCs w:val="28"/>
        </w:rPr>
        <w:t>осуществляет свою деятельность</w:t>
      </w:r>
      <w:r>
        <w:rPr>
          <w:sz w:val="28"/>
        </w:rPr>
        <w:t xml:space="preserve"> </w:t>
      </w:r>
      <w:r>
        <w:rPr>
          <w:sz w:val="28"/>
          <w:szCs w:val="28"/>
        </w:rPr>
        <w:t>более 100</w:t>
      </w:r>
      <w:r>
        <w:rPr>
          <w:sz w:val="28"/>
        </w:rPr>
        <w:t xml:space="preserve"> частных организаций, оказывающих услуги по розничной торговле лекарственными препаратами.</w:t>
      </w:r>
      <w:r>
        <w:rPr>
          <w:sz w:val="28"/>
          <w:szCs w:val="28"/>
        </w:rPr>
        <w:t>действующих организаций рынка.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Доля негосударственных аптечных организаций, осуществляющих розничную торговлю фармацевтической продукцией, в общем количестве аптечных организаций является преобладающей. </w:t>
      </w:r>
    </w:p>
    <w:p w:rsidR="004C6560" w:rsidRDefault="00C22CDD">
      <w:pPr>
        <w:ind w:firstLine="720"/>
        <w:jc w:val="both"/>
      </w:pPr>
      <w:r>
        <w:rPr>
          <w:sz w:val="28"/>
        </w:rPr>
        <w:t>Уровень концентрации рынка розничной торговли лекарственными средствами и сопутствующими товарами в городе Невинномысске достаточно высок и удовлетворяет потребности населения в лекарственных препаратах.</w:t>
      </w:r>
    </w:p>
    <w:p w:rsidR="004C6560" w:rsidRDefault="004C6560">
      <w:pPr>
        <w:spacing w:before="57" w:after="57" w:line="282" w:lineRule="exact"/>
        <w:jc w:val="center"/>
        <w:rPr>
          <w:sz w:val="28"/>
          <w:szCs w:val="28"/>
        </w:rPr>
      </w:pPr>
    </w:p>
    <w:p w:rsidR="004C6560" w:rsidRDefault="00C22CDD">
      <w:pPr>
        <w:spacing w:before="57" w:after="57" w:line="28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V. Рынок оказания услуг по перевозке пассажиров автомобильным транспортом по муниципальным и межмуниципальным маршрутам регулярных перевозок</w:t>
      </w:r>
    </w:p>
    <w:p w:rsidR="004C6560" w:rsidRDefault="004C6560">
      <w:pPr>
        <w:jc w:val="center"/>
        <w:rPr>
          <w:sz w:val="28"/>
          <w:szCs w:val="28"/>
          <w:highlight w:val="yellow"/>
        </w:rPr>
      </w:pPr>
    </w:p>
    <w:p w:rsidR="004C6560" w:rsidRDefault="00C22CD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Пассажирские перевозки по муниципальным маршрутам города Невинномысска осуществляют 4 организации и 2 индивидуальных предпринимателя. В соответствии с реестром маршрутов городского сообщения города осуществляются пассажирские перевозки по 26 маршрутам, из которых 5 сезонных (маршруты в садовые общества). Маршруты включают в себя   113 графиков обслуживания, которые охватывают все районы города и соединяют социально значимые объекты, предприятия и торговые центры, находящиеся на территории города, а также обеспечивают перевозки пассажиров на дачные участки, находящиеся за территорией города (сезонные). Средняя протяженность городских маршрутов 7,1 км. Количество единиц транспорта обеспечивает в полном объеме потребность населения в пассажирских перевозках. Пассажирские перевозки осуществляются на всей территории города.</w:t>
      </w:r>
    </w:p>
    <w:p w:rsidR="004C6560" w:rsidRDefault="00C22CDD">
      <w:pPr>
        <w:ind w:firstLine="709"/>
        <w:jc w:val="both"/>
        <w:rPr>
          <w:sz w:val="28"/>
          <w:szCs w:val="28"/>
        </w:rPr>
      </w:pPr>
      <w:r>
        <w:rPr>
          <w:sz w:val="28"/>
        </w:rPr>
        <w:t>С 01.09.2022 населению предоставлена возможность оплаты проезда безналичным способом. Всеми перевозчиками установлены терминалы для безналичной оплаты. Также с 2022 году для удобства жителей города в сервис Яндекс внесена информация по городским маршрутам, что позволяет отслеживать движение транспортных средств на маршруте в реальном времени.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 Основным фактором, сдерживающим развитие конкуренции, является недостаточная информированность потенциальных участников конкурсных процедур об условиях работы и требованиях, предъявляемых к транспортным средствам.</w:t>
      </w:r>
    </w:p>
    <w:p w:rsidR="004C6560" w:rsidRDefault="004C6560">
      <w:pPr>
        <w:ind w:firstLine="709"/>
        <w:jc w:val="both"/>
        <w:rPr>
          <w:sz w:val="28"/>
          <w:szCs w:val="28"/>
          <w:highlight w:val="yellow"/>
        </w:rPr>
      </w:pPr>
    </w:p>
    <w:p w:rsidR="004C6560" w:rsidRDefault="00C22CDD">
      <w:pPr>
        <w:spacing w:before="57" w:after="57" w:line="282" w:lineRule="exact"/>
        <w:jc w:val="center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VI. Рынок добычи общераспространенных полезных ископаемых на участках недр местного значения</w:t>
      </w:r>
    </w:p>
    <w:p w:rsidR="004C6560" w:rsidRDefault="004C6560">
      <w:pPr>
        <w:ind w:left="360"/>
        <w:jc w:val="both"/>
        <w:rPr>
          <w:sz w:val="28"/>
          <w:szCs w:val="28"/>
          <w:highlight w:val="white"/>
        </w:rPr>
      </w:pPr>
    </w:p>
    <w:p w:rsidR="004C6560" w:rsidRDefault="00C22CDD">
      <w:pPr>
        <w:ind w:firstLine="720"/>
        <w:jc w:val="both"/>
        <w:rPr>
          <w:sz w:val="28"/>
          <w:szCs w:val="28"/>
          <w:highlight w:val="white"/>
        </w:rPr>
      </w:pPr>
      <w:r>
        <w:rPr>
          <w:sz w:val="28"/>
          <w:highlight w:val="white"/>
        </w:rPr>
        <w:t>По состоянию на 01 января 2026 года</w:t>
      </w:r>
      <w:r>
        <w:rPr>
          <w:sz w:val="28"/>
          <w:szCs w:val="28"/>
          <w:highlight w:val="white"/>
        </w:rPr>
        <w:t xml:space="preserve"> согласно данным Единого реестра субъектов </w:t>
      </w:r>
      <w:r>
        <w:rPr>
          <w:sz w:val="28"/>
          <w:szCs w:val="28"/>
        </w:rPr>
        <w:t>малого и среднего предпринимательства</w:t>
      </w:r>
      <w:r>
        <w:rPr>
          <w:sz w:val="28"/>
          <w:highlight w:val="white"/>
        </w:rPr>
        <w:t xml:space="preserve"> на территории города Невинномысска</w:t>
      </w:r>
      <w:r>
        <w:rPr>
          <w:sz w:val="28"/>
          <w:szCs w:val="28"/>
          <w:highlight w:val="white"/>
        </w:rPr>
        <w:t xml:space="preserve"> осуществляют свою деятельность следующие  организации</w:t>
      </w:r>
      <w:r w:rsidR="001A3CD2">
        <w:rPr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ООО «АГРОКОНСАЛТ», ООО «АГРОТЕХ», ООО «ФОРТЕМ». </w:t>
      </w:r>
    </w:p>
    <w:p w:rsidR="004C6560" w:rsidRDefault="00C22CD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</w:rPr>
        <w:t>Н</w:t>
      </w:r>
      <w:r>
        <w:rPr>
          <w:sz w:val="28"/>
          <w:szCs w:val="28"/>
          <w:highlight w:val="white"/>
        </w:rPr>
        <w:t>а развитие конкуренции на рынке добычи общераспространенных полезных ископаемых на участках недр местного значения влияют следующие проблемы: низкая вовлеченность в пользование участков недр местного значения из нераспределенного фонда недр общераспространенных полезных ископаемых;</w:t>
      </w:r>
    </w:p>
    <w:p w:rsidR="004C6560" w:rsidRDefault="00C22CDD">
      <w:pPr>
        <w:ind w:firstLine="709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недостаточность условий для рационального использования общераспространенных полезных ископаемых и рационального размещения предприятий по их добыче;</w:t>
      </w:r>
    </w:p>
    <w:p w:rsidR="004C6560" w:rsidRDefault="00C22CDD">
      <w:pPr>
        <w:ind w:firstLine="708"/>
        <w:jc w:val="both"/>
        <w:rPr>
          <w:sz w:val="28"/>
          <w:szCs w:val="28"/>
          <w:highlight w:val="white"/>
        </w:rPr>
      </w:pPr>
      <w:r>
        <w:rPr>
          <w:sz w:val="28"/>
          <w:szCs w:val="28"/>
          <w:highlight w:val="white"/>
        </w:rPr>
        <w:t>недостаточная информированность претендентов на получение права пользования участками недр местного значения о местоположении и конфигурации участков недр местного значения.</w:t>
      </w:r>
    </w:p>
    <w:p w:rsidR="004C6560" w:rsidRDefault="004C6560">
      <w:pPr>
        <w:rPr>
          <w:sz w:val="28"/>
          <w:szCs w:val="28"/>
        </w:rPr>
      </w:pPr>
    </w:p>
    <w:p w:rsidR="004C6560" w:rsidRDefault="00C22CDD">
      <w:pPr>
        <w:spacing w:before="57" w:after="57" w:line="282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VII. Рынок торговли продовольственными товарами в неспециализированных магазинах</w:t>
      </w:r>
    </w:p>
    <w:p w:rsidR="004C6560" w:rsidRDefault="004C6560">
      <w:pPr>
        <w:spacing w:before="57" w:after="57" w:line="282" w:lineRule="exact"/>
        <w:jc w:val="center"/>
        <w:rPr>
          <w:sz w:val="28"/>
          <w:szCs w:val="28"/>
        </w:rPr>
      </w:pPr>
    </w:p>
    <w:p w:rsidR="004C6560" w:rsidRDefault="00C22CDD">
      <w:pPr>
        <w:tabs>
          <w:tab w:val="left" w:pos="554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состоянию на 01 января 2026 года на территории города </w:t>
      </w:r>
      <w:r>
        <w:rPr>
          <w:sz w:val="28"/>
        </w:rPr>
        <w:t xml:space="preserve">Невинномысска </w:t>
      </w:r>
      <w:r>
        <w:rPr>
          <w:sz w:val="28"/>
          <w:szCs w:val="28"/>
        </w:rPr>
        <w:t>функционирует 728 магазинов. Наличие на территории города торговых объектов крупных федеральных розничных сетей обеспечивает не только повышение доступности для населения широкого ассортимента товаров по конкурентным ценам и создание новых рабочих мест, но и формирует высокую конкуренцию для местных организаций, осуществляющих торговлю продовольственными товарами.</w:t>
      </w:r>
    </w:p>
    <w:p w:rsidR="004C6560" w:rsidRDefault="004C6560">
      <w:pPr>
        <w:ind w:firstLine="709"/>
        <w:jc w:val="both"/>
        <w:rPr>
          <w:sz w:val="28"/>
          <w:szCs w:val="28"/>
          <w:highlight w:val="yellow"/>
        </w:rPr>
      </w:pPr>
    </w:p>
    <w:p w:rsidR="004C6560" w:rsidRDefault="00C22CDD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VIII. Рынок гостиничных услуг</w:t>
      </w:r>
    </w:p>
    <w:p w:rsidR="004C6560" w:rsidRDefault="004C6560">
      <w:pPr>
        <w:jc w:val="center"/>
        <w:rPr>
          <w:sz w:val="28"/>
          <w:szCs w:val="28"/>
          <w:highlight w:val="cyan"/>
        </w:rPr>
      </w:pP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По состоянию на 01 января 2026 года</w:t>
      </w:r>
      <w:r>
        <w:rPr>
          <w:sz w:val="28"/>
          <w:szCs w:val="28"/>
        </w:rPr>
        <w:t xml:space="preserve"> на территории города функционирует 23 коллективных средства размещения (далее </w:t>
      </w:r>
      <w:r>
        <w:rPr>
          <w:sz w:val="28"/>
        </w:rPr>
        <w:t>–</w:t>
      </w:r>
      <w:r>
        <w:rPr>
          <w:sz w:val="28"/>
          <w:szCs w:val="28"/>
        </w:rPr>
        <w:t xml:space="preserve"> КСР), номерной фонд составляет 2107 койко-мест. Все объекты КСР включены в Единый реестр квалифицированных средств размещения ФГИС Росаккредитации, что гарантирует туристам качество и безопасность услуг.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 xml:space="preserve">Город Невинномысск является крупнейшим промышленным центром региона, что определяет специфику рынка гостиничных услуг, ориентированного преимущественно на деловой, промышленный и транзитный туризм. В городе функционирует ряд средств размещения, включая гостиницы и гостевые дома. 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Основными факторами, сдерживающими развитие организаций в данном сегменте, являются: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дефицит квалифицированных кадров;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необходимость повышения качества сервиса для деловых гостей;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</w:rPr>
        <w:t>слабая информированность организаций, осуществляющих деятельность на рынке гостиничных услуг, о существующих мерах государственной поддержки.</w:t>
      </w:r>
    </w:p>
    <w:p w:rsidR="004C6560" w:rsidRDefault="004C6560">
      <w:pPr>
        <w:ind w:firstLine="709"/>
        <w:jc w:val="center"/>
        <w:rPr>
          <w:sz w:val="28"/>
          <w:szCs w:val="28"/>
        </w:rPr>
      </w:pPr>
    </w:p>
    <w:p w:rsidR="004C6560" w:rsidRDefault="00C22CDD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IX. Рынок оказания услуг по общественному питанию</w:t>
      </w:r>
    </w:p>
    <w:p w:rsidR="004C6560" w:rsidRDefault="004C6560">
      <w:pPr>
        <w:ind w:firstLine="709"/>
        <w:jc w:val="center"/>
        <w:rPr>
          <w:sz w:val="28"/>
          <w:szCs w:val="28"/>
        </w:rPr>
      </w:pP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Развитие рынка услуг общественного питания в городе Невинномысске  представляет собой стратегически важное направление, способствующее укреплению деловой и социальной инфраструктуры города. В городе действует значительное количество предприятий общественного питания, которые являются неотъемлемой частью торговой и ресторанной сферы региона. По состоянию на 1 января 2026 года на территории города функционируют 96 организаций, предоставляющих услуги общественного питания, в том числе наиболее популярным является сегмент быстрого питания. </w:t>
      </w:r>
    </w:p>
    <w:p w:rsidR="004C6560" w:rsidRDefault="00C22CD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Основными факторами, сдерживающими развитие конкуренции на рынке оказания услуг по общественному питанию, является низкая инфор-мированность организаций общественного питания, о существующих мерах государственной поддержки в сфере оказания услуг по общественному питанию.</w:t>
      </w:r>
    </w:p>
    <w:sectPr w:rsidR="004C6560">
      <w:headerReference w:type="default" r:id="rId13"/>
      <w:headerReference w:type="first" r:id="rId14"/>
      <w:pgSz w:w="11906" w:h="16838"/>
      <w:pgMar w:top="1418" w:right="567" w:bottom="851" w:left="1985" w:header="709" w:footer="709" w:gutter="0"/>
      <w:pgNumType w:start="1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1EE1" w:rsidRDefault="00171EE1">
      <w:r>
        <w:separator/>
      </w:r>
    </w:p>
  </w:endnote>
  <w:endnote w:type="continuationSeparator" w:id="0">
    <w:p w:rsidR="00171EE1" w:rsidRDefault="00171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1EE1" w:rsidRDefault="00171EE1">
      <w:r>
        <w:separator/>
      </w:r>
    </w:p>
  </w:footnote>
  <w:footnote w:type="continuationSeparator" w:id="0">
    <w:p w:rsidR="00171EE1" w:rsidRDefault="00171E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4C6560">
    <w:pPr>
      <w:pStyle w:val="af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C22CDD">
    <w:pPr>
      <w:pStyle w:val="afa"/>
      <w:jc w:val="center"/>
      <w:rPr>
        <w:sz w:val="28"/>
      </w:rPr>
    </w:pPr>
    <w:r>
      <w:rPr>
        <w:sz w:val="28"/>
      </w:rPr>
      <w:t>2</w:t>
    </w:r>
  </w:p>
  <w:p w:rsidR="004C6560" w:rsidRDefault="004C6560">
    <w:pPr>
      <w:pStyle w:val="afa"/>
      <w:jc w:val="center"/>
      <w:rPr>
        <w:sz w:val="28"/>
      </w:rPr>
    </w:pPr>
  </w:p>
  <w:p w:rsidR="004C6560" w:rsidRDefault="004C6560">
    <w:pPr>
      <w:pStyle w:val="afa"/>
      <w:jc w:val="center"/>
      <w:rPr>
        <w:sz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4C6560">
    <w:pPr>
      <w:pStyle w:val="afa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C22CDD">
    <w:pPr>
      <w:pStyle w:val="afa"/>
      <w:jc w:val="center"/>
    </w:pPr>
    <w:r>
      <w:fldChar w:fldCharType="begin"/>
    </w:r>
    <w:r>
      <w:instrText>PAGE \* MERGEFORMAT</w:instrText>
    </w:r>
    <w:r>
      <w:fldChar w:fldCharType="separate"/>
    </w:r>
    <w:r w:rsidR="008F7025">
      <w:rPr>
        <w:noProof/>
      </w:rPr>
      <w:t>18</w:t>
    </w:r>
    <w:r>
      <w:fldChar w:fldCharType="end"/>
    </w:r>
  </w:p>
  <w:p w:rsidR="004C6560" w:rsidRDefault="004C6560">
    <w:pPr>
      <w:pStyle w:val="afa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4C6560">
    <w:pPr>
      <w:pStyle w:val="afa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C22CDD">
    <w:pPr>
      <w:jc w:val="center"/>
    </w:pPr>
    <w:r>
      <w:fldChar w:fldCharType="begin"/>
    </w:r>
    <w:r>
      <w:instrText xml:space="preserve">PAGE </w:instrText>
    </w:r>
    <w:r>
      <w:fldChar w:fldCharType="separate"/>
    </w:r>
    <w:r w:rsidR="008F7025">
      <w:rPr>
        <w:noProof/>
      </w:rPr>
      <w:t>5</w:t>
    </w:r>
    <w:r>
      <w:fldChar w:fldCharType="end"/>
    </w:r>
  </w:p>
  <w:p w:rsidR="004C6560" w:rsidRDefault="004C6560">
    <w:pPr>
      <w:pStyle w:val="afa"/>
      <w:jc w:val="center"/>
      <w:rPr>
        <w:sz w:val="28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560" w:rsidRDefault="00C22CDD">
    <w:pPr>
      <w:pStyle w:val="af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EFF9E1" wp14:editId="7A522B24">
              <wp:simplePos x="0" y="0"/>
              <wp:positionH relativeFrom="insideMargin">
                <wp:align>center</wp:align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C6560" w:rsidRDefault="00C22CDD">
                          <w:pPr>
                            <w:rPr>
                              <w:color w:val="FFFFFF"/>
                            </w:rPr>
                          </w:pPr>
                          <w:r>
                            <w:rPr>
                              <w:color w:val="FFFFFF"/>
                            </w:rPr>
                            <w:fldChar w:fldCharType="begin"/>
                          </w:r>
                          <w:r>
                            <w:rPr>
                              <w:color w:val="FFFFFF"/>
                            </w:rPr>
                            <w:instrText>PAGE \* Arabic</w:instrText>
                          </w:r>
                          <w:r>
                            <w:rPr>
                              <w:color w:val="FFFFFF"/>
                            </w:rPr>
                            <w:fldChar w:fldCharType="separate"/>
                          </w:r>
                          <w:r w:rsidR="008F7025">
                            <w:rPr>
                              <w:noProof/>
                              <w:color w:val="FFFFFF"/>
                            </w:rPr>
                            <w:t>1</w:t>
                          </w:r>
                          <w:r>
                            <w:rPr>
                              <w:color w:val="FFFFFF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91440" tIns="45720" rIns="91440" bIns="45720" anchor="ctr" anchorCtr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EFF9E1" id="_x0000_t202" coordsize="21600,21600" o:spt="202" path="m,l,21600r21600,l21600,xe">
              <v:stroke joinstyle="miter"/>
              <v:path gradientshapeok="t" o:connecttype="rect"/>
            </v:shapetype>
            <v:shape id="Picture 1" o:spid="_x0000_s1026" type="#_x0000_t202" style="position:absolute;left:0;text-align:left;margin-left:0;margin-top:0;width:0;height:0;z-index:251658240;visibility:visible;mso-wrap-style:square;mso-wrap-distance-left:9pt;mso-wrap-distance-top:0;mso-wrap-distance-right:9pt;mso-wrap-distance-bottom:0;mso-position-horizontal:center;mso-position-horizontal-relative:outer-margin-area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" filled="f" stroked="f">
              <v:textbox style="mso-fit-shape-to-text:t">
                <w:txbxContent>
                  <w:p w:rsidR="004C6560" w:rsidRDefault="00C22CDD">
                    <w:pPr>
                      <w:rPr>
                        <w:color w:val="FFFFFF"/>
                      </w:rPr>
                    </w:pPr>
                    <w:r>
                      <w:rPr>
                        <w:color w:val="FFFFFF"/>
                      </w:rPr>
                      <w:fldChar w:fldCharType="begin"/>
                    </w:r>
                    <w:r>
                      <w:rPr>
                        <w:color w:val="FFFFFF"/>
                      </w:rPr>
                      <w:instrText>PAGE \* Arabic</w:instrText>
                    </w:r>
                    <w:r>
                      <w:rPr>
                        <w:color w:val="FFFFFF"/>
                      </w:rPr>
                      <w:fldChar w:fldCharType="separate"/>
                    </w:r>
                    <w:r w:rsidR="008F7025">
                      <w:rPr>
                        <w:noProof/>
                        <w:color w:val="FFFFFF"/>
                      </w:rPr>
                      <w:t>1</w:t>
                    </w:r>
                    <w:r>
                      <w:rPr>
                        <w:color w:val="FFFFFF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04879"/>
    <w:multiLevelType w:val="hybridMultilevel"/>
    <w:tmpl w:val="1D162C60"/>
    <w:lvl w:ilvl="0" w:tplc="B9DE12F0">
      <w:start w:val="1"/>
      <w:numFmt w:val="decimal"/>
      <w:lvlText w:val=""/>
      <w:lvlJc w:val="left"/>
      <w:pPr>
        <w:tabs>
          <w:tab w:val="left" w:pos="0"/>
        </w:tabs>
        <w:ind w:left="432" w:hanging="432"/>
      </w:pPr>
    </w:lvl>
    <w:lvl w:ilvl="1" w:tplc="BF78F028">
      <w:start w:val="1"/>
      <w:numFmt w:val="decimal"/>
      <w:lvlText w:val=""/>
      <w:lvlJc w:val="left"/>
      <w:pPr>
        <w:tabs>
          <w:tab w:val="left" w:pos="0"/>
        </w:tabs>
        <w:ind w:left="576" w:hanging="576"/>
      </w:pPr>
    </w:lvl>
    <w:lvl w:ilvl="2" w:tplc="B6323610">
      <w:start w:val="1"/>
      <w:numFmt w:val="decimal"/>
      <w:lvlText w:val=""/>
      <w:lvlJc w:val="left"/>
      <w:pPr>
        <w:tabs>
          <w:tab w:val="left" w:pos="0"/>
        </w:tabs>
        <w:ind w:left="720" w:hanging="720"/>
      </w:pPr>
    </w:lvl>
    <w:lvl w:ilvl="3" w:tplc="54E662E0">
      <w:start w:val="1"/>
      <w:numFmt w:val="decimal"/>
      <w:lvlText w:val=""/>
      <w:lvlJc w:val="left"/>
      <w:pPr>
        <w:tabs>
          <w:tab w:val="left" w:pos="0"/>
        </w:tabs>
        <w:ind w:left="864" w:hanging="864"/>
      </w:pPr>
    </w:lvl>
    <w:lvl w:ilvl="4" w:tplc="B178E1DE">
      <w:start w:val="1"/>
      <w:numFmt w:val="decimal"/>
      <w:lvlText w:val=""/>
      <w:lvlJc w:val="left"/>
      <w:pPr>
        <w:tabs>
          <w:tab w:val="left" w:pos="0"/>
        </w:tabs>
        <w:ind w:left="1008" w:hanging="1008"/>
      </w:pPr>
    </w:lvl>
    <w:lvl w:ilvl="5" w:tplc="C120A40C">
      <w:start w:val="1"/>
      <w:numFmt w:val="decimal"/>
      <w:lvlText w:val=""/>
      <w:lvlJc w:val="left"/>
      <w:pPr>
        <w:tabs>
          <w:tab w:val="left" w:pos="0"/>
        </w:tabs>
        <w:ind w:left="1152" w:hanging="1152"/>
      </w:pPr>
    </w:lvl>
    <w:lvl w:ilvl="6" w:tplc="FD1253A2">
      <w:start w:val="1"/>
      <w:numFmt w:val="decimal"/>
      <w:lvlText w:val=""/>
      <w:lvlJc w:val="left"/>
      <w:pPr>
        <w:tabs>
          <w:tab w:val="left" w:pos="0"/>
        </w:tabs>
        <w:ind w:left="1296" w:hanging="1296"/>
      </w:pPr>
    </w:lvl>
    <w:lvl w:ilvl="7" w:tplc="D14CD3F6">
      <w:start w:val="1"/>
      <w:numFmt w:val="decimal"/>
      <w:lvlText w:val=""/>
      <w:lvlJc w:val="left"/>
      <w:pPr>
        <w:tabs>
          <w:tab w:val="left" w:pos="0"/>
        </w:tabs>
        <w:ind w:left="1440" w:hanging="1440"/>
      </w:pPr>
    </w:lvl>
    <w:lvl w:ilvl="8" w:tplc="03369B2A">
      <w:start w:val="1"/>
      <w:numFmt w:val="decimal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14203628"/>
    <w:multiLevelType w:val="multilevel"/>
    <w:tmpl w:val="4058EC6C"/>
    <w:lvl w:ilvl="0">
      <w:start w:val="1"/>
      <w:numFmt w:val="decimal"/>
      <w:lvlText w:val="%1."/>
      <w:lvlJc w:val="left"/>
      <w:pPr>
        <w:ind w:left="360" w:hanging="360"/>
      </w:pPr>
      <w:rPr>
        <w:highlight w:val="none"/>
      </w:r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F55488"/>
    <w:multiLevelType w:val="hybridMultilevel"/>
    <w:tmpl w:val="6D32A71A"/>
    <w:lvl w:ilvl="0" w:tplc="339EC5B8">
      <w:start w:val="1"/>
      <w:numFmt w:val="decimal"/>
      <w:lvlText w:val="%1."/>
      <w:lvlJc w:val="left"/>
      <w:pPr>
        <w:ind w:left="720" w:hanging="590"/>
      </w:pPr>
    </w:lvl>
    <w:lvl w:ilvl="1" w:tplc="987A2854">
      <w:start w:val="1"/>
      <w:numFmt w:val="lowerLetter"/>
      <w:lvlText w:val="%2."/>
      <w:lvlJc w:val="left"/>
      <w:pPr>
        <w:ind w:left="1440" w:hanging="360"/>
      </w:pPr>
    </w:lvl>
    <w:lvl w:ilvl="2" w:tplc="92AC4FDC">
      <w:start w:val="1"/>
      <w:numFmt w:val="lowerRoman"/>
      <w:lvlText w:val="%3."/>
      <w:lvlJc w:val="right"/>
      <w:pPr>
        <w:ind w:left="2160" w:hanging="180"/>
      </w:pPr>
    </w:lvl>
    <w:lvl w:ilvl="3" w:tplc="1B3AEB5C">
      <w:start w:val="1"/>
      <w:numFmt w:val="decimal"/>
      <w:lvlText w:val="%4."/>
      <w:lvlJc w:val="left"/>
      <w:pPr>
        <w:ind w:left="2880" w:hanging="360"/>
      </w:pPr>
    </w:lvl>
    <w:lvl w:ilvl="4" w:tplc="EE745EB6">
      <w:start w:val="1"/>
      <w:numFmt w:val="lowerLetter"/>
      <w:lvlText w:val="%5."/>
      <w:lvlJc w:val="left"/>
      <w:pPr>
        <w:ind w:left="3600" w:hanging="360"/>
      </w:pPr>
    </w:lvl>
    <w:lvl w:ilvl="5" w:tplc="D54C7E12">
      <w:start w:val="1"/>
      <w:numFmt w:val="lowerRoman"/>
      <w:lvlText w:val="%6."/>
      <w:lvlJc w:val="right"/>
      <w:pPr>
        <w:ind w:left="4320" w:hanging="180"/>
      </w:pPr>
    </w:lvl>
    <w:lvl w:ilvl="6" w:tplc="DCB25A1E">
      <w:start w:val="1"/>
      <w:numFmt w:val="decimal"/>
      <w:lvlText w:val="%7."/>
      <w:lvlJc w:val="left"/>
      <w:pPr>
        <w:ind w:left="5040" w:hanging="360"/>
      </w:pPr>
    </w:lvl>
    <w:lvl w:ilvl="7" w:tplc="B29C9D7A">
      <w:start w:val="1"/>
      <w:numFmt w:val="lowerLetter"/>
      <w:lvlText w:val="%8."/>
      <w:lvlJc w:val="left"/>
      <w:pPr>
        <w:ind w:left="5760" w:hanging="360"/>
      </w:pPr>
    </w:lvl>
    <w:lvl w:ilvl="8" w:tplc="EE943A4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5580F"/>
    <w:multiLevelType w:val="multilevel"/>
    <w:tmpl w:val="8D4AE3B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0" w:hanging="430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30" w:hanging="650"/>
      </w:pPr>
    </w:lvl>
    <w:lvl w:ilvl="4">
      <w:start w:val="1"/>
      <w:numFmt w:val="decimal"/>
      <w:lvlText w:val="%1.%2.%3.%4.%5."/>
      <w:lvlJc w:val="left"/>
      <w:pPr>
        <w:ind w:left="2230" w:hanging="790"/>
      </w:pPr>
    </w:lvl>
    <w:lvl w:ilvl="5">
      <w:start w:val="1"/>
      <w:numFmt w:val="decimal"/>
      <w:lvlText w:val="%1.%2.%3.%4.%5.%6."/>
      <w:lvlJc w:val="left"/>
      <w:pPr>
        <w:ind w:left="2735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5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BFC1126"/>
    <w:multiLevelType w:val="multilevel"/>
    <w:tmpl w:val="7C6CAC5A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decimal"/>
      <w:lvlText w:val="%1.%2."/>
      <w:lvlJc w:val="left"/>
      <w:pPr>
        <w:ind w:left="1429" w:hanging="360"/>
      </w:pPr>
      <w:rPr>
        <w:highlight w:val="none"/>
      </w:r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354F459E"/>
    <w:multiLevelType w:val="hybridMultilevel"/>
    <w:tmpl w:val="1352B47A"/>
    <w:lvl w:ilvl="0" w:tplc="262E3D82">
      <w:start w:val="1"/>
      <w:numFmt w:val="decimal"/>
      <w:lvlText w:val="%1."/>
      <w:lvlJc w:val="left"/>
      <w:pPr>
        <w:ind w:left="1418" w:hanging="360"/>
      </w:pPr>
    </w:lvl>
    <w:lvl w:ilvl="1" w:tplc="32902D02">
      <w:start w:val="1"/>
      <w:numFmt w:val="lowerLetter"/>
      <w:lvlText w:val="%2."/>
      <w:lvlJc w:val="left"/>
      <w:pPr>
        <w:ind w:left="2138" w:hanging="360"/>
      </w:pPr>
    </w:lvl>
    <w:lvl w:ilvl="2" w:tplc="116CC5E4">
      <w:start w:val="1"/>
      <w:numFmt w:val="lowerRoman"/>
      <w:lvlText w:val="%3."/>
      <w:lvlJc w:val="right"/>
      <w:pPr>
        <w:ind w:left="2858" w:hanging="180"/>
      </w:pPr>
    </w:lvl>
    <w:lvl w:ilvl="3" w:tplc="6E9A93AC">
      <w:start w:val="1"/>
      <w:numFmt w:val="decimal"/>
      <w:lvlText w:val="%4."/>
      <w:lvlJc w:val="left"/>
      <w:pPr>
        <w:ind w:left="3578" w:hanging="360"/>
      </w:pPr>
    </w:lvl>
    <w:lvl w:ilvl="4" w:tplc="DA5CB8B2">
      <w:start w:val="1"/>
      <w:numFmt w:val="lowerLetter"/>
      <w:lvlText w:val="%5."/>
      <w:lvlJc w:val="left"/>
      <w:pPr>
        <w:ind w:left="4298" w:hanging="360"/>
      </w:pPr>
    </w:lvl>
    <w:lvl w:ilvl="5" w:tplc="1BD40DEE">
      <w:start w:val="1"/>
      <w:numFmt w:val="lowerRoman"/>
      <w:lvlText w:val="%6."/>
      <w:lvlJc w:val="right"/>
      <w:pPr>
        <w:ind w:left="5018" w:hanging="180"/>
      </w:pPr>
    </w:lvl>
    <w:lvl w:ilvl="6" w:tplc="D8945CD0">
      <w:start w:val="1"/>
      <w:numFmt w:val="decimal"/>
      <w:lvlText w:val="%7."/>
      <w:lvlJc w:val="left"/>
      <w:pPr>
        <w:ind w:left="5738" w:hanging="360"/>
      </w:pPr>
    </w:lvl>
    <w:lvl w:ilvl="7" w:tplc="20D05356">
      <w:start w:val="1"/>
      <w:numFmt w:val="lowerLetter"/>
      <w:lvlText w:val="%8."/>
      <w:lvlJc w:val="left"/>
      <w:pPr>
        <w:ind w:left="6458" w:hanging="360"/>
      </w:pPr>
    </w:lvl>
    <w:lvl w:ilvl="8" w:tplc="8DA0B1AA">
      <w:start w:val="1"/>
      <w:numFmt w:val="lowerRoman"/>
      <w:lvlText w:val="%9."/>
      <w:lvlJc w:val="right"/>
      <w:pPr>
        <w:ind w:left="7178" w:hanging="180"/>
      </w:pPr>
    </w:lvl>
  </w:abstractNum>
  <w:abstractNum w:abstractNumId="6" w15:restartNumberingAfterBreak="0">
    <w:nsid w:val="417C0335"/>
    <w:multiLevelType w:val="hybridMultilevel"/>
    <w:tmpl w:val="4A867C62"/>
    <w:lvl w:ilvl="0" w:tplc="2934359E">
      <w:start w:val="1"/>
      <w:numFmt w:val="decimal"/>
      <w:lvlText w:val="%1."/>
      <w:lvlJc w:val="left"/>
      <w:pPr>
        <w:ind w:left="1417" w:hanging="360"/>
      </w:pPr>
      <w:rPr>
        <w:highlight w:val="none"/>
      </w:rPr>
    </w:lvl>
    <w:lvl w:ilvl="1" w:tplc="3F6C5E6C">
      <w:start w:val="1"/>
      <w:numFmt w:val="lowerLetter"/>
      <w:lvlText w:val="%2."/>
      <w:lvlJc w:val="left"/>
      <w:pPr>
        <w:ind w:left="2137" w:hanging="360"/>
      </w:pPr>
    </w:lvl>
    <w:lvl w:ilvl="2" w:tplc="DEA640BA">
      <w:start w:val="1"/>
      <w:numFmt w:val="lowerRoman"/>
      <w:lvlText w:val="%3."/>
      <w:lvlJc w:val="right"/>
      <w:pPr>
        <w:ind w:left="2857" w:hanging="180"/>
      </w:pPr>
    </w:lvl>
    <w:lvl w:ilvl="3" w:tplc="ABC09714">
      <w:start w:val="1"/>
      <w:numFmt w:val="decimal"/>
      <w:lvlText w:val="%4."/>
      <w:lvlJc w:val="left"/>
      <w:pPr>
        <w:ind w:left="3577" w:hanging="360"/>
      </w:pPr>
    </w:lvl>
    <w:lvl w:ilvl="4" w:tplc="4DE24AC4">
      <w:start w:val="1"/>
      <w:numFmt w:val="lowerLetter"/>
      <w:lvlText w:val="%5."/>
      <w:lvlJc w:val="left"/>
      <w:pPr>
        <w:ind w:left="4297" w:hanging="360"/>
      </w:pPr>
    </w:lvl>
    <w:lvl w:ilvl="5" w:tplc="9CF4D64C">
      <w:start w:val="1"/>
      <w:numFmt w:val="lowerRoman"/>
      <w:lvlText w:val="%6."/>
      <w:lvlJc w:val="right"/>
      <w:pPr>
        <w:ind w:left="5017" w:hanging="180"/>
      </w:pPr>
    </w:lvl>
    <w:lvl w:ilvl="6" w:tplc="BB94A9C6">
      <w:start w:val="1"/>
      <w:numFmt w:val="decimal"/>
      <w:lvlText w:val="%7."/>
      <w:lvlJc w:val="left"/>
      <w:pPr>
        <w:ind w:left="5737" w:hanging="360"/>
      </w:pPr>
    </w:lvl>
    <w:lvl w:ilvl="7" w:tplc="BADE48FC">
      <w:start w:val="1"/>
      <w:numFmt w:val="lowerLetter"/>
      <w:lvlText w:val="%8."/>
      <w:lvlJc w:val="left"/>
      <w:pPr>
        <w:ind w:left="6457" w:hanging="360"/>
      </w:pPr>
    </w:lvl>
    <w:lvl w:ilvl="8" w:tplc="38AEFB20">
      <w:start w:val="1"/>
      <w:numFmt w:val="lowerRoman"/>
      <w:lvlText w:val="%9."/>
      <w:lvlJc w:val="right"/>
      <w:pPr>
        <w:ind w:left="7177" w:hanging="180"/>
      </w:pPr>
    </w:lvl>
  </w:abstractNum>
  <w:abstractNum w:abstractNumId="7" w15:restartNumberingAfterBreak="0">
    <w:nsid w:val="51417608"/>
    <w:multiLevelType w:val="hybridMultilevel"/>
    <w:tmpl w:val="EAE4B222"/>
    <w:lvl w:ilvl="0" w:tplc="5CB4D286">
      <w:start w:val="1"/>
      <w:numFmt w:val="decimal"/>
      <w:lvlText w:val="%1."/>
      <w:lvlJc w:val="left"/>
      <w:pPr>
        <w:ind w:left="1417" w:hanging="360"/>
      </w:pPr>
      <w:rPr>
        <w:highlight w:val="none"/>
      </w:rPr>
    </w:lvl>
    <w:lvl w:ilvl="1" w:tplc="0068115E">
      <w:start w:val="1"/>
      <w:numFmt w:val="lowerLetter"/>
      <w:lvlText w:val="%2."/>
      <w:lvlJc w:val="left"/>
      <w:pPr>
        <w:ind w:left="2137" w:hanging="360"/>
      </w:pPr>
    </w:lvl>
    <w:lvl w:ilvl="2" w:tplc="9EB4ED2A">
      <w:start w:val="1"/>
      <w:numFmt w:val="lowerRoman"/>
      <w:lvlText w:val="%3."/>
      <w:lvlJc w:val="right"/>
      <w:pPr>
        <w:ind w:left="2857" w:hanging="180"/>
      </w:pPr>
    </w:lvl>
    <w:lvl w:ilvl="3" w:tplc="228C99F0">
      <w:start w:val="1"/>
      <w:numFmt w:val="decimal"/>
      <w:lvlText w:val="%4."/>
      <w:lvlJc w:val="left"/>
      <w:pPr>
        <w:ind w:left="3577" w:hanging="360"/>
      </w:pPr>
    </w:lvl>
    <w:lvl w:ilvl="4" w:tplc="3382650A">
      <w:start w:val="1"/>
      <w:numFmt w:val="lowerLetter"/>
      <w:lvlText w:val="%5."/>
      <w:lvlJc w:val="left"/>
      <w:pPr>
        <w:ind w:left="4297" w:hanging="360"/>
      </w:pPr>
    </w:lvl>
    <w:lvl w:ilvl="5" w:tplc="CEE6EEEE">
      <w:start w:val="1"/>
      <w:numFmt w:val="lowerRoman"/>
      <w:lvlText w:val="%6."/>
      <w:lvlJc w:val="right"/>
      <w:pPr>
        <w:ind w:left="5017" w:hanging="180"/>
      </w:pPr>
    </w:lvl>
    <w:lvl w:ilvl="6" w:tplc="AD2E2F16">
      <w:start w:val="1"/>
      <w:numFmt w:val="decimal"/>
      <w:lvlText w:val="%7."/>
      <w:lvlJc w:val="left"/>
      <w:pPr>
        <w:ind w:left="5737" w:hanging="360"/>
      </w:pPr>
    </w:lvl>
    <w:lvl w:ilvl="7" w:tplc="BEDA379E">
      <w:start w:val="1"/>
      <w:numFmt w:val="lowerLetter"/>
      <w:lvlText w:val="%8."/>
      <w:lvlJc w:val="left"/>
      <w:pPr>
        <w:ind w:left="6457" w:hanging="360"/>
      </w:pPr>
    </w:lvl>
    <w:lvl w:ilvl="8" w:tplc="03CA978E">
      <w:start w:val="1"/>
      <w:numFmt w:val="lowerRoman"/>
      <w:lvlText w:val="%9."/>
      <w:lvlJc w:val="right"/>
      <w:pPr>
        <w:ind w:left="7177" w:hanging="180"/>
      </w:pPr>
    </w:lvl>
  </w:abstractNum>
  <w:abstractNum w:abstractNumId="8" w15:restartNumberingAfterBreak="0">
    <w:nsid w:val="7D9C1217"/>
    <w:multiLevelType w:val="hybridMultilevel"/>
    <w:tmpl w:val="8390ADE6"/>
    <w:lvl w:ilvl="0" w:tplc="C3A63046">
      <w:start w:val="1"/>
      <w:numFmt w:val="decimal"/>
      <w:lvlText w:val="%1."/>
      <w:lvlJc w:val="left"/>
      <w:pPr>
        <w:ind w:left="1417" w:hanging="360"/>
      </w:pPr>
      <w:rPr>
        <w:highlight w:val="none"/>
      </w:rPr>
    </w:lvl>
    <w:lvl w:ilvl="1" w:tplc="4AE6CDAA">
      <w:start w:val="1"/>
      <w:numFmt w:val="lowerLetter"/>
      <w:lvlText w:val="%2."/>
      <w:lvlJc w:val="left"/>
      <w:pPr>
        <w:ind w:left="2137" w:hanging="360"/>
      </w:pPr>
    </w:lvl>
    <w:lvl w:ilvl="2" w:tplc="70029F2E">
      <w:start w:val="1"/>
      <w:numFmt w:val="lowerRoman"/>
      <w:lvlText w:val="%3."/>
      <w:lvlJc w:val="right"/>
      <w:pPr>
        <w:ind w:left="2857" w:hanging="180"/>
      </w:pPr>
    </w:lvl>
    <w:lvl w:ilvl="3" w:tplc="4078B9C2">
      <w:start w:val="1"/>
      <w:numFmt w:val="decimal"/>
      <w:lvlText w:val="%4."/>
      <w:lvlJc w:val="left"/>
      <w:pPr>
        <w:ind w:left="3577" w:hanging="360"/>
      </w:pPr>
    </w:lvl>
    <w:lvl w:ilvl="4" w:tplc="FA1222B4">
      <w:start w:val="1"/>
      <w:numFmt w:val="lowerLetter"/>
      <w:lvlText w:val="%5."/>
      <w:lvlJc w:val="left"/>
      <w:pPr>
        <w:ind w:left="4297" w:hanging="360"/>
      </w:pPr>
    </w:lvl>
    <w:lvl w:ilvl="5" w:tplc="C5D4CF14">
      <w:start w:val="1"/>
      <w:numFmt w:val="lowerRoman"/>
      <w:lvlText w:val="%6."/>
      <w:lvlJc w:val="right"/>
      <w:pPr>
        <w:ind w:left="5017" w:hanging="180"/>
      </w:pPr>
    </w:lvl>
    <w:lvl w:ilvl="6" w:tplc="C7D85918">
      <w:start w:val="1"/>
      <w:numFmt w:val="decimal"/>
      <w:lvlText w:val="%7."/>
      <w:lvlJc w:val="left"/>
      <w:pPr>
        <w:ind w:left="5737" w:hanging="360"/>
      </w:pPr>
    </w:lvl>
    <w:lvl w:ilvl="7" w:tplc="82F8E628">
      <w:start w:val="1"/>
      <w:numFmt w:val="lowerLetter"/>
      <w:lvlText w:val="%8."/>
      <w:lvlJc w:val="left"/>
      <w:pPr>
        <w:ind w:left="6457" w:hanging="360"/>
      </w:pPr>
    </w:lvl>
    <w:lvl w:ilvl="8" w:tplc="3640812C">
      <w:start w:val="1"/>
      <w:numFmt w:val="lowerRoman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8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560"/>
    <w:rsid w:val="00135716"/>
    <w:rsid w:val="00171EE1"/>
    <w:rsid w:val="001A3CD2"/>
    <w:rsid w:val="0024175A"/>
    <w:rsid w:val="004C6560"/>
    <w:rsid w:val="004D4C8D"/>
    <w:rsid w:val="007E7868"/>
    <w:rsid w:val="008F7025"/>
    <w:rsid w:val="00AB2569"/>
    <w:rsid w:val="00B25540"/>
    <w:rsid w:val="00BE4636"/>
    <w:rsid w:val="00C22CDD"/>
    <w:rsid w:val="00DA7989"/>
    <w:rsid w:val="00E07925"/>
    <w:rsid w:val="00E6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302E3C-3655-40F6-86A9-DD6D3EE54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0" w:line="240" w:lineRule="auto"/>
    </w:pPr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link w:val="a7"/>
    <w:uiPriority w:val="35"/>
    <w:semiHidden/>
    <w:unhideWhenUsed/>
    <w:qFormat/>
    <w:rPr>
      <w:b/>
      <w:bCs/>
      <w:color w:val="FF388C" w:themeColor="accent1"/>
      <w:sz w:val="18"/>
      <w:szCs w:val="18"/>
    </w:rPr>
  </w:style>
  <w:style w:type="character" w:customStyle="1" w:styleId="a7">
    <w:name w:val="Название объекта Знак"/>
    <w:link w:val="a6"/>
    <w:uiPriority w:val="99"/>
  </w:style>
  <w:style w:type="table" w:styleId="a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AED0" w:themeColor="accent1" w:themeTint="67"/>
        <w:left w:val="single" w:sz="4" w:space="0" w:color="FFAED0" w:themeColor="accent1" w:themeTint="67"/>
        <w:bottom w:val="single" w:sz="4" w:space="0" w:color="FFAED0" w:themeColor="accent1" w:themeTint="67"/>
        <w:right w:val="single" w:sz="4" w:space="0" w:color="FFAED0" w:themeColor="accent1" w:themeTint="67"/>
        <w:insideH w:val="single" w:sz="4" w:space="0" w:color="FFAED0" w:themeColor="accent1" w:themeTint="67"/>
        <w:insideV w:val="single" w:sz="4" w:space="0" w:color="FFAED0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8ABB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ED0" w:themeColor="accent1" w:themeTint="67"/>
          <w:left w:val="single" w:sz="4" w:space="0" w:color="FFAED0" w:themeColor="accent1" w:themeTint="67"/>
          <w:bottom w:val="single" w:sz="4" w:space="0" w:color="FFAED0" w:themeColor="accent1" w:themeTint="67"/>
          <w:right w:val="single" w:sz="4" w:space="0" w:color="FFAED0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8DB9" w:themeColor="accent2" w:themeTint="67"/>
        <w:left w:val="single" w:sz="4" w:space="0" w:color="FF8DB9" w:themeColor="accent2" w:themeTint="67"/>
        <w:bottom w:val="single" w:sz="4" w:space="0" w:color="FF8DB9" w:themeColor="accent2" w:themeTint="67"/>
        <w:right w:val="single" w:sz="4" w:space="0" w:color="FF8DB9" w:themeColor="accent2" w:themeTint="67"/>
        <w:insideH w:val="single" w:sz="4" w:space="0" w:color="FF8DB9" w:themeColor="accent2" w:themeTint="67"/>
        <w:insideV w:val="single" w:sz="4" w:space="0" w:color="FF8DB9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5A9A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DB9" w:themeColor="accent2" w:themeTint="67"/>
          <w:left w:val="single" w:sz="4" w:space="0" w:color="FF8DB9" w:themeColor="accent2" w:themeTint="67"/>
          <w:bottom w:val="single" w:sz="4" w:space="0" w:color="FF8DB9" w:themeColor="accent2" w:themeTint="67"/>
          <w:right w:val="single" w:sz="4" w:space="0" w:color="FF8DB9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70E4" w:themeColor="accent3" w:themeTint="67"/>
        <w:left w:val="single" w:sz="4" w:space="0" w:color="FF70E4" w:themeColor="accent3" w:themeTint="67"/>
        <w:bottom w:val="single" w:sz="4" w:space="0" w:color="FF70E4" w:themeColor="accent3" w:themeTint="67"/>
        <w:right w:val="single" w:sz="4" w:space="0" w:color="FF70E4" w:themeColor="accent3" w:themeTint="67"/>
        <w:insideH w:val="single" w:sz="4" w:space="0" w:color="FF70E4" w:themeColor="accent3" w:themeTint="67"/>
        <w:insideV w:val="single" w:sz="4" w:space="0" w:color="FF70E4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30D8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70E4" w:themeColor="accent3" w:themeTint="67"/>
          <w:left w:val="single" w:sz="4" w:space="0" w:color="FF70E4" w:themeColor="accent3" w:themeTint="67"/>
          <w:bottom w:val="single" w:sz="4" w:space="0" w:color="FF70E4" w:themeColor="accent3" w:themeTint="67"/>
          <w:right w:val="single" w:sz="4" w:space="0" w:color="FF70E4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264FF" w:themeColor="accent4" w:themeTint="67"/>
        <w:left w:val="single" w:sz="4" w:space="0" w:color="E264FF" w:themeColor="accent4" w:themeTint="67"/>
        <w:bottom w:val="single" w:sz="4" w:space="0" w:color="E264FF" w:themeColor="accent4" w:themeTint="67"/>
        <w:right w:val="single" w:sz="4" w:space="0" w:color="E264FF" w:themeColor="accent4" w:themeTint="67"/>
        <w:insideH w:val="single" w:sz="4" w:space="0" w:color="E264FF" w:themeColor="accent4" w:themeTint="67"/>
        <w:insideV w:val="single" w:sz="4" w:space="0" w:color="E264FF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51FFF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264FF" w:themeColor="accent4" w:themeTint="67"/>
          <w:left w:val="single" w:sz="4" w:space="0" w:color="E264FF" w:themeColor="accent4" w:themeTint="67"/>
          <w:bottom w:val="single" w:sz="4" w:space="0" w:color="E264FF" w:themeColor="accent4" w:themeTint="67"/>
          <w:right w:val="single" w:sz="4" w:space="0" w:color="E264FF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6B9FF" w:themeColor="accent5" w:themeTint="67"/>
        <w:left w:val="single" w:sz="4" w:space="0" w:color="86B9FF" w:themeColor="accent5" w:themeTint="67"/>
        <w:bottom w:val="single" w:sz="4" w:space="0" w:color="86B9FF" w:themeColor="accent5" w:themeTint="67"/>
        <w:right w:val="single" w:sz="4" w:space="0" w:color="86B9FF" w:themeColor="accent5" w:themeTint="67"/>
        <w:insideH w:val="single" w:sz="4" w:space="0" w:color="86B9FF" w:themeColor="accent5" w:themeTint="67"/>
        <w:insideV w:val="single" w:sz="4" w:space="0" w:color="86B9FF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09AFF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6B9FF" w:themeColor="accent5" w:themeTint="67"/>
          <w:left w:val="single" w:sz="4" w:space="0" w:color="86B9FF" w:themeColor="accent5" w:themeTint="67"/>
          <w:bottom w:val="single" w:sz="4" w:space="0" w:color="86B9FF" w:themeColor="accent5" w:themeTint="67"/>
          <w:right w:val="single" w:sz="4" w:space="0" w:color="86B9FF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9EFF" w:themeColor="accent6" w:themeTint="67"/>
        <w:left w:val="single" w:sz="4" w:space="0" w:color="709EFF" w:themeColor="accent6" w:themeTint="67"/>
        <w:bottom w:val="single" w:sz="4" w:space="0" w:color="709EFF" w:themeColor="accent6" w:themeTint="67"/>
        <w:right w:val="single" w:sz="4" w:space="0" w:color="709EFF" w:themeColor="accent6" w:themeTint="67"/>
        <w:insideH w:val="single" w:sz="4" w:space="0" w:color="709EFF" w:themeColor="accent6" w:themeTint="67"/>
        <w:insideV w:val="single" w:sz="4" w:space="0" w:color="709EFF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3174FF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09EFF" w:themeColor="accent6" w:themeTint="67"/>
          <w:left w:val="single" w:sz="4" w:space="0" w:color="709EFF" w:themeColor="accent6" w:themeTint="67"/>
          <w:bottom w:val="single" w:sz="4" w:space="0" w:color="709EFF" w:themeColor="accent6" w:themeTint="67"/>
          <w:right w:val="single" w:sz="4" w:space="0" w:color="709EFF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4894" w:themeColor="accent1" w:themeTint="EA"/>
        <w:insideH w:val="single" w:sz="4" w:space="0" w:color="FF4894" w:themeColor="accent1" w:themeTint="EA"/>
        <w:insideV w:val="single" w:sz="4" w:space="0" w:color="FF4894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4894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4894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6E7" w:themeColor="accent1" w:themeTint="34" w:fill="FFD6E7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6E7" w:themeColor="accent1" w:themeTint="34" w:fill="FFD6E7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5898" w:themeColor="accent2" w:themeTint="97"/>
        <w:insideH w:val="single" w:sz="4" w:space="0" w:color="FF5898" w:themeColor="accent2" w:themeTint="97"/>
        <w:insideV w:val="single" w:sz="4" w:space="0" w:color="FF5898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5898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5898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D007F" w:themeColor="accent3" w:themeTint="FE"/>
        <w:insideH w:val="single" w:sz="4" w:space="0" w:color="9D007F" w:themeColor="accent3" w:themeTint="FE"/>
        <w:insideV w:val="single" w:sz="4" w:space="0" w:color="9D007F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D007F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D007F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417FF" w:themeColor="accent4" w:themeTint="9A"/>
        <w:insideH w:val="single" w:sz="4" w:space="0" w:color="D417FF" w:themeColor="accent4" w:themeTint="9A"/>
        <w:insideV w:val="single" w:sz="4" w:space="0" w:color="D417F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417FF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417F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5BD3" w:themeColor="accent5"/>
        <w:insideH w:val="single" w:sz="4" w:space="0" w:color="005BD3" w:themeColor="accent5"/>
        <w:insideV w:val="single" w:sz="4" w:space="0" w:color="005BD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5BD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5BD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349E" w:themeColor="accent6"/>
        <w:insideH w:val="single" w:sz="4" w:space="0" w:color="00349E" w:themeColor="accent6"/>
        <w:insideV w:val="single" w:sz="4" w:space="0" w:color="00349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349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349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4894" w:themeColor="accent1" w:themeTint="EA"/>
        <w:insideH w:val="single" w:sz="4" w:space="0" w:color="FF4894" w:themeColor="accent1" w:themeTint="EA"/>
        <w:insideV w:val="single" w:sz="4" w:space="0" w:color="FF4894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D6E7" w:themeColor="accent1" w:themeTint="34" w:fill="FFD6E7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6E7" w:themeColor="accent1" w:themeTint="34" w:fill="FFD6E7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5898" w:themeColor="accent2" w:themeTint="97"/>
        <w:insideH w:val="single" w:sz="4" w:space="0" w:color="FF5898" w:themeColor="accent2" w:themeTint="97"/>
        <w:insideV w:val="single" w:sz="4" w:space="0" w:color="FF5898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D007F" w:themeColor="accent3" w:themeTint="FE"/>
        <w:insideH w:val="single" w:sz="4" w:space="0" w:color="9D007F" w:themeColor="accent3" w:themeTint="FE"/>
        <w:insideV w:val="single" w:sz="4" w:space="0" w:color="9D007F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417FF" w:themeColor="accent4" w:themeTint="9A"/>
        <w:insideH w:val="single" w:sz="4" w:space="0" w:color="D417FF" w:themeColor="accent4" w:themeTint="9A"/>
        <w:insideV w:val="single" w:sz="4" w:space="0" w:color="D417FF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5BD3" w:themeColor="accent5"/>
        <w:insideH w:val="single" w:sz="4" w:space="0" w:color="005BD3" w:themeColor="accent5"/>
        <w:insideV w:val="single" w:sz="4" w:space="0" w:color="005BD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00349E" w:themeColor="accent6"/>
        <w:insideH w:val="single" w:sz="4" w:space="0" w:color="00349E" w:themeColor="accent6"/>
        <w:insideV w:val="single" w:sz="4" w:space="0" w:color="00349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8EBD" w:themeColor="accent1" w:themeTint="90"/>
        <w:left w:val="single" w:sz="4" w:space="0" w:color="FF8EBD" w:themeColor="accent1" w:themeTint="90"/>
        <w:bottom w:val="single" w:sz="4" w:space="0" w:color="FF8EBD" w:themeColor="accent1" w:themeTint="90"/>
        <w:right w:val="single" w:sz="4" w:space="0" w:color="FF8EBD" w:themeColor="accent1" w:themeTint="90"/>
        <w:insideH w:val="single" w:sz="4" w:space="0" w:color="FF8EBD" w:themeColor="accent1" w:themeTint="90"/>
        <w:insideV w:val="single" w:sz="4" w:space="0" w:color="FF8EB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4894" w:themeColor="accent1" w:themeTint="EA"/>
          <w:left w:val="single" w:sz="4" w:space="0" w:color="FF4894" w:themeColor="accent1" w:themeTint="EA"/>
          <w:bottom w:val="single" w:sz="4" w:space="0" w:color="FF4894" w:themeColor="accent1" w:themeTint="EA"/>
          <w:right w:val="single" w:sz="4" w:space="0" w:color="FF4894" w:themeColor="accent1" w:themeTint="EA"/>
        </w:tcBorders>
        <w:shd w:val="clear" w:color="FF4894" w:themeColor="accent1" w:themeTint="EA" w:fill="FF4894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FF4894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D7E8" w:themeColor="accent1" w:themeTint="32" w:fill="FFD7E8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D7E8" w:themeColor="accent1" w:themeTint="32" w:fill="FFD7E8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5F9D" w:themeColor="accent2" w:themeTint="90"/>
        <w:left w:val="single" w:sz="4" w:space="0" w:color="FF5F9D" w:themeColor="accent2" w:themeTint="90"/>
        <w:bottom w:val="single" w:sz="4" w:space="0" w:color="FF5F9D" w:themeColor="accent2" w:themeTint="90"/>
        <w:right w:val="single" w:sz="4" w:space="0" w:color="FF5F9D" w:themeColor="accent2" w:themeTint="90"/>
        <w:insideH w:val="single" w:sz="4" w:space="0" w:color="FF5F9D" w:themeColor="accent2" w:themeTint="90"/>
        <w:insideV w:val="single" w:sz="4" w:space="0" w:color="FF5F9D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5898" w:themeColor="accent2" w:themeTint="97"/>
          <w:left w:val="single" w:sz="4" w:space="0" w:color="FF5898" w:themeColor="accent2" w:themeTint="97"/>
          <w:bottom w:val="single" w:sz="4" w:space="0" w:color="FF5898" w:themeColor="accent2" w:themeTint="97"/>
          <w:right w:val="single" w:sz="4" w:space="0" w:color="FF5898" w:themeColor="accent2" w:themeTint="97"/>
        </w:tcBorders>
        <w:shd w:val="clear" w:color="FF5898" w:themeColor="accent2" w:themeTint="97" w:fill="FF5898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F5898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37D9" w:themeColor="accent3" w:themeTint="90"/>
        <w:left w:val="single" w:sz="4" w:space="0" w:color="FF37D9" w:themeColor="accent3" w:themeTint="90"/>
        <w:bottom w:val="single" w:sz="4" w:space="0" w:color="FF37D9" w:themeColor="accent3" w:themeTint="90"/>
        <w:right w:val="single" w:sz="4" w:space="0" w:color="FF37D9" w:themeColor="accent3" w:themeTint="90"/>
        <w:insideH w:val="single" w:sz="4" w:space="0" w:color="FF37D9" w:themeColor="accent3" w:themeTint="90"/>
        <w:insideV w:val="single" w:sz="4" w:space="0" w:color="FF37D9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D007F" w:themeColor="accent3" w:themeTint="FE"/>
          <w:left w:val="single" w:sz="4" w:space="0" w:color="9D007F" w:themeColor="accent3" w:themeTint="FE"/>
          <w:bottom w:val="single" w:sz="4" w:space="0" w:color="9D007F" w:themeColor="accent3" w:themeTint="FE"/>
          <w:right w:val="single" w:sz="4" w:space="0" w:color="9D007F" w:themeColor="accent3" w:themeTint="FE"/>
        </w:tcBorders>
        <w:shd w:val="clear" w:color="9D007F" w:themeColor="accent3" w:themeTint="FE" w:fill="9D007F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D007F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726FF" w:themeColor="accent4" w:themeTint="90"/>
        <w:left w:val="single" w:sz="4" w:space="0" w:color="D726FF" w:themeColor="accent4" w:themeTint="90"/>
        <w:bottom w:val="single" w:sz="4" w:space="0" w:color="D726FF" w:themeColor="accent4" w:themeTint="90"/>
        <w:right w:val="single" w:sz="4" w:space="0" w:color="D726FF" w:themeColor="accent4" w:themeTint="90"/>
        <w:insideH w:val="single" w:sz="4" w:space="0" w:color="D726FF" w:themeColor="accent4" w:themeTint="90"/>
        <w:insideV w:val="single" w:sz="4" w:space="0" w:color="D726F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417FF" w:themeColor="accent4" w:themeTint="9A"/>
          <w:left w:val="single" w:sz="4" w:space="0" w:color="D417FF" w:themeColor="accent4" w:themeTint="9A"/>
          <w:bottom w:val="single" w:sz="4" w:space="0" w:color="D417FF" w:themeColor="accent4" w:themeTint="9A"/>
          <w:right w:val="single" w:sz="4" w:space="0" w:color="D417FF" w:themeColor="accent4" w:themeTint="9A"/>
        </w:tcBorders>
        <w:shd w:val="clear" w:color="D417FF" w:themeColor="accent4" w:themeTint="9A" w:fill="D417FF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D417FF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69EFF" w:themeColor="accent5" w:themeTint="90"/>
        <w:left w:val="single" w:sz="4" w:space="0" w:color="569EFF" w:themeColor="accent5" w:themeTint="90"/>
        <w:bottom w:val="single" w:sz="4" w:space="0" w:color="569EFF" w:themeColor="accent5" w:themeTint="90"/>
        <w:right w:val="single" w:sz="4" w:space="0" w:color="569EFF" w:themeColor="accent5" w:themeTint="90"/>
        <w:insideH w:val="single" w:sz="4" w:space="0" w:color="569EFF" w:themeColor="accent5" w:themeTint="90"/>
        <w:insideV w:val="single" w:sz="4" w:space="0" w:color="569EFF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5BD3" w:themeColor="accent5"/>
          <w:left w:val="single" w:sz="4" w:space="0" w:color="005BD3" w:themeColor="accent5"/>
          <w:bottom w:val="single" w:sz="4" w:space="0" w:color="005BD3" w:themeColor="accent5"/>
          <w:right w:val="single" w:sz="4" w:space="0" w:color="005BD3" w:themeColor="accent5"/>
        </w:tcBorders>
        <w:shd w:val="clear" w:color="005BD3" w:themeColor="accent5" w:fill="005BD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005BD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3878FF" w:themeColor="accent6" w:themeTint="90"/>
        <w:left w:val="single" w:sz="4" w:space="0" w:color="3878FF" w:themeColor="accent6" w:themeTint="90"/>
        <w:bottom w:val="single" w:sz="4" w:space="0" w:color="3878FF" w:themeColor="accent6" w:themeTint="90"/>
        <w:right w:val="single" w:sz="4" w:space="0" w:color="3878FF" w:themeColor="accent6" w:themeTint="90"/>
        <w:insideH w:val="single" w:sz="4" w:space="0" w:color="3878FF" w:themeColor="accent6" w:themeTint="90"/>
        <w:insideV w:val="single" w:sz="4" w:space="0" w:color="3878FF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349E" w:themeColor="accent6"/>
          <w:left w:val="single" w:sz="4" w:space="0" w:color="00349E" w:themeColor="accent6"/>
          <w:bottom w:val="single" w:sz="4" w:space="0" w:color="00349E" w:themeColor="accent6"/>
          <w:right w:val="single" w:sz="4" w:space="0" w:color="00349E" w:themeColor="accent6"/>
        </w:tcBorders>
        <w:shd w:val="clear" w:color="00349E" w:themeColor="accent6" w:fill="00349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00349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D6E7" w:themeColor="accent1" w:themeTint="34" w:fill="FFD6E7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388C" w:themeColor="accent1" w:fill="FF388C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388C" w:themeColor="accent1" w:fill="FF388C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388C" w:themeColor="accent1" w:fill="FF388C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388C" w:themeColor="accent1" w:fill="FF388C" w:themeFill="accent1"/>
      </w:tcPr>
    </w:tblStylePr>
    <w:tblStylePr w:type="band1Vert">
      <w:tblPr/>
      <w:tcPr>
        <w:shd w:val="clear" w:color="FFA3C9" w:themeColor="accent1" w:themeTint="75" w:fill="FFA3C9" w:themeFill="accent1" w:themeFillTint="75"/>
      </w:tcPr>
    </w:tblStylePr>
    <w:tblStylePr w:type="band1Horz">
      <w:tblPr/>
      <w:tcPr>
        <w:shd w:val="clear" w:color="FFA3C9" w:themeColor="accent1" w:themeTint="75" w:fill="FFA3C9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C7DD" w:themeColor="accent2" w:themeTint="32" w:fill="FFC7DD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40059" w:themeColor="accent2" w:fill="E40059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40059" w:themeColor="accent2" w:fill="E40059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40059" w:themeColor="accent2" w:fill="E40059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40059" w:themeColor="accent2" w:fill="E40059" w:themeFill="accent2"/>
      </w:tcPr>
    </w:tblStylePr>
    <w:tblStylePr w:type="band1Vert">
      <w:tblPr/>
      <w:tcPr>
        <w:shd w:val="clear" w:color="FF7DAF" w:themeColor="accent2" w:themeTint="75" w:fill="FF7DAF" w:themeFill="accent2" w:themeFillTint="75"/>
      </w:tcPr>
    </w:tblStylePr>
    <w:tblStylePr w:type="band1Horz">
      <w:tblPr/>
      <w:tcPr>
        <w:shd w:val="clear" w:color="FF7DAF" w:themeColor="accent2" w:themeTint="75" w:fill="FF7DAF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B6F1" w:themeColor="accent3" w:themeTint="34" w:fill="FFB6F1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C007F" w:themeColor="accent3" w:fill="9C007F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C007F" w:themeColor="accent3" w:fill="9C007F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C007F" w:themeColor="accent3" w:fill="9C007F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C007F" w:themeColor="accent3" w:fill="9C007F" w:themeFill="accent3"/>
      </w:tcPr>
    </w:tblStylePr>
    <w:tblStylePr w:type="band1Vert">
      <w:tblPr/>
      <w:tcPr>
        <w:shd w:val="clear" w:color="FF5CE0" w:themeColor="accent3" w:themeTint="75" w:fill="FF5CE0" w:themeFill="accent3" w:themeFillTint="75"/>
      </w:tcPr>
    </w:tblStylePr>
    <w:tblStylePr w:type="band1Horz">
      <w:tblPr/>
      <w:tcPr>
        <w:shd w:val="clear" w:color="FF5CE0" w:themeColor="accent3" w:themeTint="75" w:fill="FF5CE0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0B0FF" w:themeColor="accent4" w:themeTint="34" w:fill="F0B0FF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8007F" w:themeColor="accent4" w:fill="68007F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68007F" w:themeColor="accent4" w:fill="68007F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68007F" w:themeColor="accent4" w:fill="68007F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68007F" w:themeColor="accent4" w:fill="68007F" w:themeFill="accent4"/>
      </w:tcPr>
    </w:tblStylePr>
    <w:tblStylePr w:type="band1Vert">
      <w:tblPr/>
      <w:tcPr>
        <w:shd w:val="clear" w:color="DE4FFF" w:themeColor="accent4" w:themeTint="75" w:fill="DE4FFF" w:themeFill="accent4" w:themeFillTint="75"/>
      </w:tcPr>
    </w:tblStylePr>
    <w:tblStylePr w:type="band1Horz">
      <w:tblPr/>
      <w:tcPr>
        <w:shd w:val="clear" w:color="DE4FFF" w:themeColor="accent4" w:themeTint="75" w:fill="DE4FFF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2DCFF" w:themeColor="accent5" w:themeTint="34" w:fill="C2DCFF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5BD3" w:themeColor="accent5" w:fill="005BD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5BD3" w:themeColor="accent5" w:fill="005BD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5BD3" w:themeColor="accent5" w:fill="005BD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5BD3" w:themeColor="accent5" w:fill="005BD3" w:themeFill="accent5"/>
      </w:tcPr>
    </w:tblStylePr>
    <w:tblStylePr w:type="band1Vert">
      <w:tblPr/>
      <w:tcPr>
        <w:shd w:val="clear" w:color="75B0FF" w:themeColor="accent5" w:themeTint="75" w:fill="75B0FF" w:themeFill="accent5" w:themeFillTint="75"/>
      </w:tcPr>
    </w:tblStylePr>
    <w:tblStylePr w:type="band1Horz">
      <w:tblPr/>
      <w:tcPr>
        <w:shd w:val="clear" w:color="75B0FF" w:themeColor="accent5" w:themeTint="75" w:fill="75B0FF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7CEFF" w:themeColor="accent6" w:themeTint="34" w:fill="B7CEF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349E" w:themeColor="accent6" w:fill="00349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349E" w:themeColor="accent6" w:fill="00349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349E" w:themeColor="accent6" w:fill="00349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349E" w:themeColor="accent6" w:fill="00349E" w:themeFill="accent6"/>
      </w:tcPr>
    </w:tblStylePr>
    <w:tblStylePr w:type="band1Vert">
      <w:tblPr/>
      <w:tcPr>
        <w:shd w:val="clear" w:color="5D91FF" w:themeColor="accent6" w:themeTint="75" w:fill="5D91FF" w:themeFill="accent6" w:themeFillTint="75"/>
      </w:tcPr>
    </w:tblStylePr>
    <w:tblStylePr w:type="band1Horz">
      <w:tblPr/>
      <w:tcPr>
        <w:shd w:val="clear" w:color="5D91FF" w:themeColor="accent6" w:themeTint="75" w:fill="5D91FF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9BC4" w:themeColor="accent1" w:themeTint="80"/>
        <w:left w:val="single" w:sz="4" w:space="0" w:color="FF9BC4" w:themeColor="accent1" w:themeTint="80"/>
        <w:bottom w:val="single" w:sz="4" w:space="0" w:color="FF9BC4" w:themeColor="accent1" w:themeTint="80"/>
        <w:right w:val="single" w:sz="4" w:space="0" w:color="FF9BC4" w:themeColor="accent1" w:themeTint="80"/>
        <w:insideH w:val="single" w:sz="4" w:space="0" w:color="FF9BC4" w:themeColor="accent1" w:themeTint="80"/>
        <w:insideV w:val="single" w:sz="4" w:space="0" w:color="FF9BC4" w:themeColor="accent1" w:themeTint="80"/>
      </w:tblBorders>
    </w:tblPr>
    <w:tblStylePr w:type="firstRow">
      <w:rPr>
        <w:b/>
        <w:color w:val="FF9BC4" w:themeColor="accent1" w:themeTint="80" w:themeShade="95"/>
      </w:rPr>
      <w:tblPr/>
      <w:tcPr>
        <w:tcBorders>
          <w:bottom w:val="single" w:sz="12" w:space="0" w:color="FF9BC4" w:themeColor="accent1" w:themeTint="80"/>
        </w:tcBorders>
      </w:tcPr>
    </w:tblStylePr>
    <w:tblStylePr w:type="lastRow">
      <w:rPr>
        <w:b/>
        <w:color w:val="FF9BC4" w:themeColor="accent1" w:themeTint="80" w:themeShade="95"/>
      </w:rPr>
    </w:tblStylePr>
    <w:tblStylePr w:type="firstCol">
      <w:rPr>
        <w:b/>
        <w:color w:val="FF9BC4" w:themeColor="accent1" w:themeTint="80" w:themeShade="95"/>
      </w:rPr>
    </w:tblStylePr>
    <w:tblStylePr w:type="lastCol">
      <w:rPr>
        <w:b/>
        <w:color w:val="FF9BC4" w:themeColor="accent1" w:themeTint="80" w:themeShade="95"/>
      </w:rPr>
    </w:tblStylePr>
    <w:tblStylePr w:type="band1Vert">
      <w:tblPr/>
      <w:tcPr>
        <w:shd w:val="clear" w:color="FFD6E7" w:themeColor="accent1" w:themeTint="34" w:fill="FFD6E7" w:themeFill="accent1" w:themeFillTint="34"/>
      </w:tcPr>
    </w:tblStylePr>
    <w:tblStylePr w:type="band1Horz">
      <w:rPr>
        <w:rFonts w:ascii="Arial" w:hAnsi="Arial"/>
        <w:color w:val="FF9BC4" w:themeColor="accent1" w:themeTint="80" w:themeShade="95"/>
        <w:sz w:val="22"/>
      </w:rPr>
      <w:tblPr/>
      <w:tcPr>
        <w:shd w:val="clear" w:color="FFD6E7" w:themeColor="accent1" w:themeTint="34" w:fill="FFD6E7" w:themeFill="accent1" w:themeFillTint="34"/>
      </w:tcPr>
    </w:tblStylePr>
    <w:tblStylePr w:type="band2Horz">
      <w:rPr>
        <w:rFonts w:ascii="Arial" w:hAnsi="Arial"/>
        <w:color w:val="FF9BC4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5898" w:themeColor="accent2" w:themeTint="97"/>
        <w:left w:val="single" w:sz="4" w:space="0" w:color="FF5898" w:themeColor="accent2" w:themeTint="97"/>
        <w:bottom w:val="single" w:sz="4" w:space="0" w:color="FF5898" w:themeColor="accent2" w:themeTint="97"/>
        <w:right w:val="single" w:sz="4" w:space="0" w:color="FF5898" w:themeColor="accent2" w:themeTint="97"/>
        <w:insideH w:val="single" w:sz="4" w:space="0" w:color="FF5898" w:themeColor="accent2" w:themeTint="97"/>
        <w:insideV w:val="single" w:sz="4" w:space="0" w:color="FF5898" w:themeColor="accent2" w:themeTint="97"/>
      </w:tblBorders>
    </w:tblPr>
    <w:tblStylePr w:type="firstRow">
      <w:rPr>
        <w:b/>
        <w:color w:val="FF5898" w:themeColor="accent2" w:themeTint="97" w:themeShade="95"/>
      </w:rPr>
      <w:tblPr/>
      <w:tcPr>
        <w:tcBorders>
          <w:bottom w:val="single" w:sz="12" w:space="0" w:color="FF5898" w:themeColor="accent2" w:themeTint="97"/>
        </w:tcBorders>
      </w:tcPr>
    </w:tblStylePr>
    <w:tblStylePr w:type="lastRow">
      <w:rPr>
        <w:b/>
        <w:color w:val="FF5898" w:themeColor="accent2" w:themeTint="97" w:themeShade="95"/>
      </w:rPr>
    </w:tblStylePr>
    <w:tblStylePr w:type="firstCol">
      <w:rPr>
        <w:b/>
        <w:color w:val="FF5898" w:themeColor="accent2" w:themeTint="97" w:themeShade="95"/>
      </w:rPr>
    </w:tblStylePr>
    <w:tblStylePr w:type="lastCol">
      <w:rPr>
        <w:b/>
        <w:color w:val="FF5898" w:themeColor="accent2" w:themeTint="97" w:themeShade="95"/>
      </w:rPr>
    </w:tblStylePr>
    <w:tblStylePr w:type="band1Vert"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FF5898" w:themeColor="accent2" w:themeTint="97" w:themeShade="95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2Horz">
      <w:rPr>
        <w:rFonts w:ascii="Arial" w:hAnsi="Arial"/>
        <w:color w:val="FF5898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D007F" w:themeColor="accent3" w:themeTint="FE"/>
        <w:left w:val="single" w:sz="4" w:space="0" w:color="9D007F" w:themeColor="accent3" w:themeTint="FE"/>
        <w:bottom w:val="single" w:sz="4" w:space="0" w:color="9D007F" w:themeColor="accent3" w:themeTint="FE"/>
        <w:right w:val="single" w:sz="4" w:space="0" w:color="9D007F" w:themeColor="accent3" w:themeTint="FE"/>
        <w:insideH w:val="single" w:sz="4" w:space="0" w:color="9D007F" w:themeColor="accent3" w:themeTint="FE"/>
        <w:insideV w:val="single" w:sz="4" w:space="0" w:color="9D007F" w:themeColor="accent3" w:themeTint="FE"/>
      </w:tblBorders>
    </w:tblPr>
    <w:tblStylePr w:type="firstRow">
      <w:rPr>
        <w:b/>
        <w:color w:val="9D007F" w:themeColor="accent3" w:themeTint="FE" w:themeShade="95"/>
      </w:rPr>
      <w:tblPr/>
      <w:tcPr>
        <w:tcBorders>
          <w:bottom w:val="single" w:sz="12" w:space="0" w:color="9D007F" w:themeColor="accent3" w:themeTint="FE"/>
        </w:tcBorders>
      </w:tcPr>
    </w:tblStylePr>
    <w:tblStylePr w:type="lastRow">
      <w:rPr>
        <w:b/>
        <w:color w:val="9D007F" w:themeColor="accent3" w:themeTint="FE" w:themeShade="95"/>
      </w:rPr>
    </w:tblStylePr>
    <w:tblStylePr w:type="firstCol">
      <w:rPr>
        <w:b/>
        <w:color w:val="9D007F" w:themeColor="accent3" w:themeTint="FE" w:themeShade="95"/>
      </w:rPr>
    </w:tblStylePr>
    <w:tblStylePr w:type="lastCol">
      <w:rPr>
        <w:b/>
        <w:color w:val="9D007F" w:themeColor="accent3" w:themeTint="FE" w:themeShade="95"/>
      </w:rPr>
    </w:tblStylePr>
    <w:tblStylePr w:type="band1Vert"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9D007F" w:themeColor="accent3" w:themeTint="FE" w:themeShade="95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2Horz">
      <w:rPr>
        <w:rFonts w:ascii="Arial" w:hAnsi="Arial"/>
        <w:color w:val="9D007F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417FF" w:themeColor="accent4" w:themeTint="9A"/>
        <w:left w:val="single" w:sz="4" w:space="0" w:color="D417FF" w:themeColor="accent4" w:themeTint="9A"/>
        <w:bottom w:val="single" w:sz="4" w:space="0" w:color="D417FF" w:themeColor="accent4" w:themeTint="9A"/>
        <w:right w:val="single" w:sz="4" w:space="0" w:color="D417FF" w:themeColor="accent4" w:themeTint="9A"/>
        <w:insideH w:val="single" w:sz="4" w:space="0" w:color="D417FF" w:themeColor="accent4" w:themeTint="9A"/>
        <w:insideV w:val="single" w:sz="4" w:space="0" w:color="D417FF" w:themeColor="accent4" w:themeTint="9A"/>
      </w:tblBorders>
    </w:tblPr>
    <w:tblStylePr w:type="firstRow">
      <w:rPr>
        <w:b/>
        <w:color w:val="D417FF" w:themeColor="accent4" w:themeTint="9A" w:themeShade="95"/>
      </w:rPr>
      <w:tblPr/>
      <w:tcPr>
        <w:tcBorders>
          <w:bottom w:val="single" w:sz="12" w:space="0" w:color="D417FF" w:themeColor="accent4" w:themeTint="9A"/>
        </w:tcBorders>
      </w:tcPr>
    </w:tblStylePr>
    <w:tblStylePr w:type="lastRow">
      <w:rPr>
        <w:b/>
        <w:color w:val="D417FF" w:themeColor="accent4" w:themeTint="9A" w:themeShade="95"/>
      </w:rPr>
    </w:tblStylePr>
    <w:tblStylePr w:type="firstCol">
      <w:rPr>
        <w:b/>
        <w:color w:val="D417FF" w:themeColor="accent4" w:themeTint="9A" w:themeShade="95"/>
      </w:rPr>
    </w:tblStylePr>
    <w:tblStylePr w:type="lastCol">
      <w:rPr>
        <w:b/>
        <w:color w:val="D417FF" w:themeColor="accent4" w:themeTint="9A" w:themeShade="95"/>
      </w:rPr>
    </w:tblStylePr>
    <w:tblStylePr w:type="band1Vert"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D417FF" w:themeColor="accent4" w:themeTint="9A" w:themeShade="95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2Horz">
      <w:rPr>
        <w:rFonts w:ascii="Arial" w:hAnsi="Arial"/>
        <w:color w:val="D417FF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5BD3" w:themeColor="accent5"/>
        <w:left w:val="single" w:sz="4" w:space="0" w:color="005BD3" w:themeColor="accent5"/>
        <w:bottom w:val="single" w:sz="4" w:space="0" w:color="005BD3" w:themeColor="accent5"/>
        <w:right w:val="single" w:sz="4" w:space="0" w:color="005BD3" w:themeColor="accent5"/>
        <w:insideH w:val="single" w:sz="4" w:space="0" w:color="005BD3" w:themeColor="accent5"/>
        <w:insideV w:val="single" w:sz="4" w:space="0" w:color="005BD3" w:themeColor="accent5"/>
      </w:tblBorders>
    </w:tblPr>
    <w:tblStylePr w:type="firstRow">
      <w:rPr>
        <w:b/>
        <w:color w:val="00347B" w:themeColor="accent5" w:themeShade="95"/>
      </w:rPr>
      <w:tblPr/>
      <w:tcPr>
        <w:tcBorders>
          <w:bottom w:val="single" w:sz="12" w:space="0" w:color="005BD3" w:themeColor="accent5"/>
        </w:tcBorders>
      </w:tcPr>
    </w:tblStylePr>
    <w:tblStylePr w:type="lastRow">
      <w:rPr>
        <w:b/>
        <w:color w:val="00347B" w:themeColor="accent5" w:themeShade="95"/>
      </w:rPr>
    </w:tblStylePr>
    <w:tblStylePr w:type="firstCol">
      <w:rPr>
        <w:b/>
        <w:color w:val="00347B" w:themeColor="accent5" w:themeShade="95"/>
      </w:rPr>
    </w:tblStylePr>
    <w:tblStylePr w:type="lastCol">
      <w:rPr>
        <w:b/>
        <w:color w:val="00347B" w:themeColor="accent5" w:themeShade="95"/>
      </w:rPr>
    </w:tblStylePr>
    <w:tblStylePr w:type="band1Vert"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00347B" w:themeColor="accent5" w:themeShade="95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2Horz">
      <w:rPr>
        <w:rFonts w:ascii="Arial" w:hAnsi="Arial"/>
        <w:color w:val="00347B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349E" w:themeColor="accent6"/>
        <w:left w:val="single" w:sz="4" w:space="0" w:color="00349E" w:themeColor="accent6"/>
        <w:bottom w:val="single" w:sz="4" w:space="0" w:color="00349E" w:themeColor="accent6"/>
        <w:right w:val="single" w:sz="4" w:space="0" w:color="00349E" w:themeColor="accent6"/>
        <w:insideH w:val="single" w:sz="4" w:space="0" w:color="00349E" w:themeColor="accent6"/>
        <w:insideV w:val="single" w:sz="4" w:space="0" w:color="00349E" w:themeColor="accent6"/>
      </w:tblBorders>
    </w:tblPr>
    <w:tblStylePr w:type="firstRow">
      <w:rPr>
        <w:b/>
        <w:color w:val="00347B" w:themeColor="accent5" w:themeShade="95"/>
      </w:rPr>
      <w:tblPr/>
      <w:tcPr>
        <w:tcBorders>
          <w:bottom w:val="single" w:sz="12" w:space="0" w:color="00349E" w:themeColor="accent6"/>
        </w:tcBorders>
      </w:tcPr>
    </w:tblStylePr>
    <w:tblStylePr w:type="lastRow">
      <w:rPr>
        <w:b/>
        <w:color w:val="00347B" w:themeColor="accent5" w:themeShade="95"/>
      </w:rPr>
    </w:tblStylePr>
    <w:tblStylePr w:type="firstCol">
      <w:rPr>
        <w:b/>
        <w:color w:val="00347B" w:themeColor="accent5" w:themeShade="95"/>
      </w:rPr>
    </w:tblStylePr>
    <w:tblStylePr w:type="lastCol">
      <w:rPr>
        <w:b/>
        <w:color w:val="00347B" w:themeColor="accent5" w:themeShade="95"/>
      </w:rPr>
    </w:tblStylePr>
    <w:tblStylePr w:type="band1Vert"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00347B" w:themeColor="accent5" w:themeShade="95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2Horz">
      <w:rPr>
        <w:rFonts w:ascii="Arial" w:hAnsi="Arial"/>
        <w:color w:val="00347B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9BC4" w:themeColor="accent1" w:themeTint="80"/>
        <w:right w:val="single" w:sz="4" w:space="0" w:color="FF9BC4" w:themeColor="accent1" w:themeTint="80"/>
        <w:insideH w:val="single" w:sz="4" w:space="0" w:color="FF9BC4" w:themeColor="accent1" w:themeTint="80"/>
        <w:insideV w:val="single" w:sz="4" w:space="0" w:color="FF9BC4" w:themeColor="accent1" w:themeTint="80"/>
      </w:tblBorders>
    </w:tblPr>
    <w:tblStylePr w:type="firstRow">
      <w:rPr>
        <w:rFonts w:ascii="Arial" w:hAnsi="Arial"/>
        <w:b/>
        <w:color w:val="FF9BC4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9BC4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9BC4" w:themeColor="accent1" w:themeTint="80" w:themeShade="95"/>
        <w:sz w:val="22"/>
      </w:rPr>
      <w:tblPr/>
      <w:tcPr>
        <w:tcBorders>
          <w:top w:val="single" w:sz="4" w:space="0" w:color="FF9BC4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9BC4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9BC4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FF9BC4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FF9BC4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D6E7" w:themeColor="accent1" w:themeTint="34" w:fill="FFD6E7" w:themeFill="accent1" w:themeFillTint="34"/>
      </w:tcPr>
    </w:tblStylePr>
    <w:tblStylePr w:type="band1Horz">
      <w:rPr>
        <w:rFonts w:ascii="Arial" w:hAnsi="Arial"/>
        <w:color w:val="FF9BC4" w:themeColor="accent1" w:themeTint="80" w:themeShade="95"/>
        <w:sz w:val="22"/>
      </w:rPr>
      <w:tblPr/>
      <w:tcPr>
        <w:shd w:val="clear" w:color="FFD6E7" w:themeColor="accent1" w:themeTint="34" w:fill="FFD6E7" w:themeFill="accent1" w:themeFillTint="34"/>
      </w:tcPr>
    </w:tblStylePr>
    <w:tblStylePr w:type="band2Horz">
      <w:rPr>
        <w:rFonts w:ascii="Arial" w:hAnsi="Arial"/>
        <w:color w:val="FF9BC4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5898" w:themeColor="accent2" w:themeTint="97"/>
        <w:right w:val="single" w:sz="4" w:space="0" w:color="FF5898" w:themeColor="accent2" w:themeTint="97"/>
        <w:insideH w:val="single" w:sz="4" w:space="0" w:color="FF5898" w:themeColor="accent2" w:themeTint="97"/>
        <w:insideV w:val="single" w:sz="4" w:space="0" w:color="FF5898" w:themeColor="accent2" w:themeTint="97"/>
      </w:tblBorders>
    </w:tblPr>
    <w:tblStylePr w:type="firstRow">
      <w:rPr>
        <w:rFonts w:ascii="Arial" w:hAnsi="Arial"/>
        <w:b/>
        <w:color w:val="FF5898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5898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5898" w:themeColor="accent2" w:themeTint="97" w:themeShade="95"/>
        <w:sz w:val="22"/>
      </w:rPr>
      <w:tblPr/>
      <w:tcPr>
        <w:tcBorders>
          <w:top w:val="single" w:sz="4" w:space="0" w:color="FF5898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5898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5898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F5898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F5898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FF5898" w:themeColor="accent2" w:themeTint="97" w:themeShade="95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2Horz">
      <w:rPr>
        <w:rFonts w:ascii="Arial" w:hAnsi="Arial"/>
        <w:color w:val="FF5898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D007F" w:themeColor="accent3" w:themeTint="FE"/>
        <w:right w:val="single" w:sz="4" w:space="0" w:color="9D007F" w:themeColor="accent3" w:themeTint="FE"/>
        <w:insideH w:val="single" w:sz="4" w:space="0" w:color="9D007F" w:themeColor="accent3" w:themeTint="FE"/>
        <w:insideV w:val="single" w:sz="4" w:space="0" w:color="9D007F" w:themeColor="accent3" w:themeTint="FE"/>
      </w:tblBorders>
    </w:tblPr>
    <w:tblStylePr w:type="firstRow">
      <w:rPr>
        <w:rFonts w:ascii="Arial" w:hAnsi="Arial"/>
        <w:b/>
        <w:color w:val="9D007F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D007F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D007F" w:themeColor="accent3" w:themeTint="FE" w:themeShade="95"/>
        <w:sz w:val="22"/>
      </w:rPr>
      <w:tblPr/>
      <w:tcPr>
        <w:tcBorders>
          <w:top w:val="single" w:sz="4" w:space="0" w:color="9D007F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007F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D007F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D007F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D007F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9D007F" w:themeColor="accent3" w:themeTint="FE" w:themeShade="95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2Horz">
      <w:rPr>
        <w:rFonts w:ascii="Arial" w:hAnsi="Arial"/>
        <w:color w:val="9D007F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417FF" w:themeColor="accent4" w:themeTint="9A"/>
        <w:right w:val="single" w:sz="4" w:space="0" w:color="D417FF" w:themeColor="accent4" w:themeTint="9A"/>
        <w:insideH w:val="single" w:sz="4" w:space="0" w:color="D417FF" w:themeColor="accent4" w:themeTint="9A"/>
        <w:insideV w:val="single" w:sz="4" w:space="0" w:color="D417FF" w:themeColor="accent4" w:themeTint="9A"/>
      </w:tblBorders>
    </w:tblPr>
    <w:tblStylePr w:type="firstRow">
      <w:rPr>
        <w:rFonts w:ascii="Arial" w:hAnsi="Arial"/>
        <w:b/>
        <w:color w:val="D417F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417FF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417FF" w:themeColor="accent4" w:themeTint="9A" w:themeShade="95"/>
        <w:sz w:val="22"/>
      </w:rPr>
      <w:tblPr/>
      <w:tcPr>
        <w:tcBorders>
          <w:top w:val="single" w:sz="4" w:space="0" w:color="D417F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417F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417F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417FF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D417FF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D417FF" w:themeColor="accent4" w:themeTint="9A" w:themeShade="95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2Horz">
      <w:rPr>
        <w:rFonts w:ascii="Arial" w:hAnsi="Arial"/>
        <w:color w:val="D417FF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69EFF" w:themeColor="accent5" w:themeTint="90"/>
        <w:right w:val="single" w:sz="4" w:space="0" w:color="569EFF" w:themeColor="accent5" w:themeTint="90"/>
        <w:insideH w:val="single" w:sz="4" w:space="0" w:color="569EFF" w:themeColor="accent5" w:themeTint="90"/>
        <w:insideV w:val="single" w:sz="4" w:space="0" w:color="569EFF" w:themeColor="accent5" w:themeTint="90"/>
      </w:tblBorders>
    </w:tblPr>
    <w:tblStylePr w:type="firstRow">
      <w:rPr>
        <w:rFonts w:ascii="Arial" w:hAnsi="Arial"/>
        <w:b/>
        <w:color w:val="00347B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69EFF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00347B" w:themeColor="accent5" w:themeShade="95"/>
        <w:sz w:val="22"/>
      </w:rPr>
      <w:tblPr/>
      <w:tcPr>
        <w:tcBorders>
          <w:top w:val="single" w:sz="4" w:space="0" w:color="569EFF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347B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69EFF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00347B" w:themeColor="accent5" w:themeShade="95"/>
        <w:sz w:val="22"/>
      </w:rPr>
      <w:tblPr/>
      <w:tcPr>
        <w:tcBorders>
          <w:top w:val="none" w:sz="4" w:space="0" w:color="000000"/>
          <w:left w:val="single" w:sz="4" w:space="0" w:color="569EFF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00347B" w:themeColor="accent5" w:themeShade="95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2Horz">
      <w:rPr>
        <w:rFonts w:ascii="Arial" w:hAnsi="Arial"/>
        <w:color w:val="00347B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3878FF" w:themeColor="accent6" w:themeTint="90"/>
        <w:right w:val="single" w:sz="4" w:space="0" w:color="3878FF" w:themeColor="accent6" w:themeTint="90"/>
        <w:insideH w:val="single" w:sz="4" w:space="0" w:color="3878FF" w:themeColor="accent6" w:themeTint="90"/>
        <w:insideV w:val="single" w:sz="4" w:space="0" w:color="3878FF" w:themeColor="accent6" w:themeTint="90"/>
      </w:tblBorders>
    </w:tblPr>
    <w:tblStylePr w:type="firstRow">
      <w:rPr>
        <w:rFonts w:ascii="Arial" w:hAnsi="Arial"/>
        <w:b/>
        <w:color w:val="001D5C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3878FF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001D5C" w:themeColor="accent6" w:themeShade="95"/>
        <w:sz w:val="22"/>
      </w:rPr>
      <w:tblPr/>
      <w:tcPr>
        <w:tcBorders>
          <w:top w:val="single" w:sz="4" w:space="0" w:color="3878FF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01D5C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3878FF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001D5C" w:themeColor="accent6" w:themeShade="95"/>
        <w:sz w:val="22"/>
      </w:rPr>
      <w:tblPr/>
      <w:tcPr>
        <w:tcBorders>
          <w:top w:val="none" w:sz="4" w:space="0" w:color="000000"/>
          <w:left w:val="single" w:sz="4" w:space="0" w:color="3878FF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001D5C" w:themeColor="accent6" w:themeShade="95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2Horz">
      <w:rPr>
        <w:rFonts w:ascii="Arial" w:hAnsi="Arial"/>
        <w:color w:val="001D5C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388C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388C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CDE1" w:themeColor="accent1" w:themeTint="40" w:fill="FFCDE1" w:themeFill="accent1" w:themeFillTint="40"/>
      </w:tcPr>
    </w:tblStylePr>
    <w:tblStylePr w:type="band1Horz">
      <w:tblPr/>
      <w:tcPr>
        <w:shd w:val="clear" w:color="FFCDE1" w:themeColor="accent1" w:themeTint="40" w:fill="FFCDE1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40059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40059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B8D3" w:themeColor="accent2" w:themeTint="40" w:fill="FFB8D3" w:themeFill="accent2" w:themeFillTint="40"/>
      </w:tcPr>
    </w:tblStylePr>
    <w:tblStylePr w:type="band1Horz">
      <w:tblPr/>
      <w:tcPr>
        <w:shd w:val="clear" w:color="FFB8D3" w:themeColor="accent2" w:themeTint="40" w:fill="FFB8D3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C007F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C007F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A6EE" w:themeColor="accent3" w:themeTint="40" w:fill="FFA6EE" w:themeFill="accent3" w:themeFillTint="40"/>
      </w:tcPr>
    </w:tblStylePr>
    <w:tblStylePr w:type="band1Horz">
      <w:tblPr/>
      <w:tcPr>
        <w:shd w:val="clear" w:color="FFA6EE" w:themeColor="accent3" w:themeTint="40" w:fill="FFA6EE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8007F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68007F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D9EFF" w:themeColor="accent4" w:themeTint="40" w:fill="ED9EFF" w:themeFill="accent4" w:themeFillTint="40"/>
      </w:tcPr>
    </w:tblStylePr>
    <w:tblStylePr w:type="band1Horz">
      <w:tblPr/>
      <w:tcPr>
        <w:shd w:val="clear" w:color="ED9EFF" w:themeColor="accent4" w:themeTint="40" w:fill="ED9EF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5BD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5BD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3D3FF" w:themeColor="accent5" w:themeTint="40" w:fill="B3D3FF" w:themeFill="accent5" w:themeFillTint="40"/>
      </w:tcPr>
    </w:tblStylePr>
    <w:tblStylePr w:type="band1Horz">
      <w:tblPr/>
      <w:tcPr>
        <w:shd w:val="clear" w:color="B3D3FF" w:themeColor="accent5" w:themeTint="40" w:fill="B3D3FF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349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349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6C3FF" w:themeColor="accent6" w:themeTint="40" w:fill="A6C3FF" w:themeFill="accent6" w:themeFillTint="40"/>
      </w:tcPr>
    </w:tblStylePr>
    <w:tblStylePr w:type="band1Horz">
      <w:tblPr/>
      <w:tcPr>
        <w:shd w:val="clear" w:color="A6C3FF" w:themeColor="accent6" w:themeTint="40" w:fill="A6C3F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8EBD" w:themeColor="accent1" w:themeTint="90"/>
        <w:bottom w:val="single" w:sz="4" w:space="0" w:color="FF8EBD" w:themeColor="accent1" w:themeTint="90"/>
        <w:insideH w:val="single" w:sz="4" w:space="0" w:color="FF8EB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8EBD" w:themeColor="accent1" w:themeTint="90"/>
          <w:left w:val="none" w:sz="4" w:space="0" w:color="000000"/>
          <w:bottom w:val="single" w:sz="4" w:space="0" w:color="FF8EB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8EBD" w:themeColor="accent1" w:themeTint="90"/>
          <w:left w:val="none" w:sz="4" w:space="0" w:color="000000"/>
          <w:bottom w:val="single" w:sz="4" w:space="0" w:color="FF8EB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DE1" w:themeColor="accent1" w:themeTint="40" w:fill="FFCDE1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DE1" w:themeColor="accent1" w:themeTint="40" w:fill="FFCDE1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5F9D" w:themeColor="accent2" w:themeTint="90"/>
        <w:bottom w:val="single" w:sz="4" w:space="0" w:color="FF5F9D" w:themeColor="accent2" w:themeTint="90"/>
        <w:insideH w:val="single" w:sz="4" w:space="0" w:color="FF5F9D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5F9D" w:themeColor="accent2" w:themeTint="90"/>
          <w:left w:val="none" w:sz="4" w:space="0" w:color="000000"/>
          <w:bottom w:val="single" w:sz="4" w:space="0" w:color="FF5F9D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5F9D" w:themeColor="accent2" w:themeTint="90"/>
          <w:left w:val="none" w:sz="4" w:space="0" w:color="000000"/>
          <w:bottom w:val="single" w:sz="4" w:space="0" w:color="FF5F9D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B8D3" w:themeColor="accent2" w:themeTint="40" w:fill="FFB8D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8D3" w:themeColor="accent2" w:themeTint="40" w:fill="FFB8D3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37D9" w:themeColor="accent3" w:themeTint="90"/>
        <w:bottom w:val="single" w:sz="4" w:space="0" w:color="FF37D9" w:themeColor="accent3" w:themeTint="90"/>
        <w:insideH w:val="single" w:sz="4" w:space="0" w:color="FF37D9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37D9" w:themeColor="accent3" w:themeTint="90"/>
          <w:left w:val="none" w:sz="4" w:space="0" w:color="000000"/>
          <w:bottom w:val="single" w:sz="4" w:space="0" w:color="FF37D9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37D9" w:themeColor="accent3" w:themeTint="90"/>
          <w:left w:val="none" w:sz="4" w:space="0" w:color="000000"/>
          <w:bottom w:val="single" w:sz="4" w:space="0" w:color="FF37D9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A6EE" w:themeColor="accent3" w:themeTint="40" w:fill="FFA6EE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A6EE" w:themeColor="accent3" w:themeTint="40" w:fill="FFA6EE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26FF" w:themeColor="accent4" w:themeTint="90"/>
        <w:bottom w:val="single" w:sz="4" w:space="0" w:color="D726FF" w:themeColor="accent4" w:themeTint="90"/>
        <w:insideH w:val="single" w:sz="4" w:space="0" w:color="D726F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726FF" w:themeColor="accent4" w:themeTint="90"/>
          <w:left w:val="none" w:sz="4" w:space="0" w:color="000000"/>
          <w:bottom w:val="single" w:sz="4" w:space="0" w:color="D726F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726FF" w:themeColor="accent4" w:themeTint="90"/>
          <w:left w:val="none" w:sz="4" w:space="0" w:color="000000"/>
          <w:bottom w:val="single" w:sz="4" w:space="0" w:color="D726F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D9EFF" w:themeColor="accent4" w:themeTint="40" w:fill="ED9EF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D9EFF" w:themeColor="accent4" w:themeTint="40" w:fill="ED9EF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69EFF" w:themeColor="accent5" w:themeTint="90"/>
        <w:bottom w:val="single" w:sz="4" w:space="0" w:color="569EFF" w:themeColor="accent5" w:themeTint="90"/>
        <w:insideH w:val="single" w:sz="4" w:space="0" w:color="569EFF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69EFF" w:themeColor="accent5" w:themeTint="90"/>
          <w:left w:val="none" w:sz="4" w:space="0" w:color="000000"/>
          <w:bottom w:val="single" w:sz="4" w:space="0" w:color="569EFF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69EFF" w:themeColor="accent5" w:themeTint="90"/>
          <w:left w:val="none" w:sz="4" w:space="0" w:color="000000"/>
          <w:bottom w:val="single" w:sz="4" w:space="0" w:color="569EFF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3D3FF" w:themeColor="accent5" w:themeTint="40" w:fill="B3D3FF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3D3FF" w:themeColor="accent5" w:themeTint="40" w:fill="B3D3FF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878FF" w:themeColor="accent6" w:themeTint="90"/>
        <w:bottom w:val="single" w:sz="4" w:space="0" w:color="3878FF" w:themeColor="accent6" w:themeTint="90"/>
        <w:insideH w:val="single" w:sz="4" w:space="0" w:color="3878FF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878FF" w:themeColor="accent6" w:themeTint="90"/>
          <w:left w:val="none" w:sz="4" w:space="0" w:color="000000"/>
          <w:bottom w:val="single" w:sz="4" w:space="0" w:color="3878FF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3878FF" w:themeColor="accent6" w:themeTint="90"/>
          <w:left w:val="none" w:sz="4" w:space="0" w:color="000000"/>
          <w:bottom w:val="single" w:sz="4" w:space="0" w:color="3878FF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6C3FF" w:themeColor="accent6" w:themeTint="40" w:fill="A6C3F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6C3FF" w:themeColor="accent6" w:themeTint="40" w:fill="A6C3F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388C" w:themeColor="accent1"/>
        <w:left w:val="single" w:sz="4" w:space="0" w:color="FF388C" w:themeColor="accent1"/>
        <w:bottom w:val="single" w:sz="4" w:space="0" w:color="FF388C" w:themeColor="accent1"/>
        <w:right w:val="single" w:sz="4" w:space="0" w:color="FF388C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388C" w:themeColor="accent1" w:fill="FF388C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388C" w:themeColor="accent1"/>
          <w:right w:val="single" w:sz="4" w:space="0" w:color="FF388C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388C" w:themeColor="accent1"/>
          <w:bottom w:val="single" w:sz="4" w:space="0" w:color="FF388C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5898" w:themeColor="accent2" w:themeTint="97"/>
        <w:left w:val="single" w:sz="4" w:space="0" w:color="FF5898" w:themeColor="accent2" w:themeTint="97"/>
        <w:bottom w:val="single" w:sz="4" w:space="0" w:color="FF5898" w:themeColor="accent2" w:themeTint="97"/>
        <w:right w:val="single" w:sz="4" w:space="0" w:color="FF5898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5898" w:themeColor="accent2" w:themeTint="97"/>
          <w:right w:val="single" w:sz="4" w:space="0" w:color="FF5898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5898" w:themeColor="accent2" w:themeTint="97"/>
          <w:bottom w:val="single" w:sz="4" w:space="0" w:color="FF5898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2BD7" w:themeColor="accent3" w:themeTint="98"/>
        <w:left w:val="single" w:sz="4" w:space="0" w:color="FF2BD7" w:themeColor="accent3" w:themeTint="98"/>
        <w:bottom w:val="single" w:sz="4" w:space="0" w:color="FF2BD7" w:themeColor="accent3" w:themeTint="98"/>
        <w:right w:val="single" w:sz="4" w:space="0" w:color="FF2BD7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2BD7" w:themeColor="accent3" w:themeTint="98" w:fill="FF2BD7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2BD7" w:themeColor="accent3" w:themeTint="98"/>
          <w:right w:val="single" w:sz="4" w:space="0" w:color="FF2BD7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2BD7" w:themeColor="accent3" w:themeTint="98"/>
          <w:bottom w:val="single" w:sz="4" w:space="0" w:color="FF2BD7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417FF" w:themeColor="accent4" w:themeTint="9A"/>
        <w:left w:val="single" w:sz="4" w:space="0" w:color="D417FF" w:themeColor="accent4" w:themeTint="9A"/>
        <w:bottom w:val="single" w:sz="4" w:space="0" w:color="D417FF" w:themeColor="accent4" w:themeTint="9A"/>
        <w:right w:val="single" w:sz="4" w:space="0" w:color="D417FF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417FF" w:themeColor="accent4" w:themeTint="9A"/>
          <w:right w:val="single" w:sz="4" w:space="0" w:color="D417F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417FF" w:themeColor="accent4" w:themeTint="9A"/>
          <w:bottom w:val="single" w:sz="4" w:space="0" w:color="D417FF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A97FF" w:themeColor="accent5" w:themeTint="9A"/>
        <w:left w:val="single" w:sz="4" w:space="0" w:color="4A97FF" w:themeColor="accent5" w:themeTint="9A"/>
        <w:bottom w:val="single" w:sz="4" w:space="0" w:color="4A97FF" w:themeColor="accent5" w:themeTint="9A"/>
        <w:right w:val="single" w:sz="4" w:space="0" w:color="4A97FF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A97FF" w:themeColor="accent5" w:themeTint="9A" w:fill="4A97FF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A97FF" w:themeColor="accent5" w:themeTint="9A"/>
          <w:right w:val="single" w:sz="4" w:space="0" w:color="4A97FF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A97FF" w:themeColor="accent5" w:themeTint="9A"/>
          <w:bottom w:val="single" w:sz="4" w:space="0" w:color="4A97FF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D71FF" w:themeColor="accent6" w:themeTint="98"/>
        <w:left w:val="single" w:sz="4" w:space="0" w:color="2D71FF" w:themeColor="accent6" w:themeTint="98"/>
        <w:bottom w:val="single" w:sz="4" w:space="0" w:color="2D71FF" w:themeColor="accent6" w:themeTint="98"/>
        <w:right w:val="single" w:sz="4" w:space="0" w:color="2D71FF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2D71FF" w:themeColor="accent6" w:themeTint="98" w:fill="2D71FF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2D71FF" w:themeColor="accent6" w:themeTint="98"/>
          <w:right w:val="single" w:sz="4" w:space="0" w:color="2D71FF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2D71FF" w:themeColor="accent6" w:themeTint="98"/>
          <w:bottom w:val="single" w:sz="4" w:space="0" w:color="2D71FF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8EBD" w:themeColor="accent1" w:themeTint="90"/>
        <w:left w:val="single" w:sz="4" w:space="0" w:color="FF8EBD" w:themeColor="accent1" w:themeTint="90"/>
        <w:bottom w:val="single" w:sz="4" w:space="0" w:color="FF8EBD" w:themeColor="accent1" w:themeTint="90"/>
        <w:right w:val="single" w:sz="4" w:space="0" w:color="FF8EBD" w:themeColor="accent1" w:themeTint="90"/>
        <w:insideH w:val="single" w:sz="4" w:space="0" w:color="FF8EB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388C" w:themeColor="accent1" w:fill="FF388C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CDE1" w:themeColor="accent1" w:themeTint="40" w:fill="FFCDE1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CDE1" w:themeColor="accent1" w:themeTint="40" w:fill="FFCDE1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5F9D" w:themeColor="accent2" w:themeTint="90"/>
        <w:left w:val="single" w:sz="4" w:space="0" w:color="FF5F9D" w:themeColor="accent2" w:themeTint="90"/>
        <w:bottom w:val="single" w:sz="4" w:space="0" w:color="FF5F9D" w:themeColor="accent2" w:themeTint="90"/>
        <w:right w:val="single" w:sz="4" w:space="0" w:color="FF5F9D" w:themeColor="accent2" w:themeTint="90"/>
        <w:insideH w:val="single" w:sz="4" w:space="0" w:color="FF5F9D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40059" w:themeColor="accent2" w:fill="E40059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B8D3" w:themeColor="accent2" w:themeTint="40" w:fill="FFB8D3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B8D3" w:themeColor="accent2" w:themeTint="40" w:fill="FFB8D3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37D9" w:themeColor="accent3" w:themeTint="90"/>
        <w:left w:val="single" w:sz="4" w:space="0" w:color="FF37D9" w:themeColor="accent3" w:themeTint="90"/>
        <w:bottom w:val="single" w:sz="4" w:space="0" w:color="FF37D9" w:themeColor="accent3" w:themeTint="90"/>
        <w:right w:val="single" w:sz="4" w:space="0" w:color="FF37D9" w:themeColor="accent3" w:themeTint="90"/>
        <w:insideH w:val="single" w:sz="4" w:space="0" w:color="FF37D9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C007F" w:themeColor="accent3" w:fill="9C007F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A6EE" w:themeColor="accent3" w:themeTint="40" w:fill="FFA6EE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A6EE" w:themeColor="accent3" w:themeTint="40" w:fill="FFA6EE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26FF" w:themeColor="accent4" w:themeTint="90"/>
        <w:left w:val="single" w:sz="4" w:space="0" w:color="D726FF" w:themeColor="accent4" w:themeTint="90"/>
        <w:bottom w:val="single" w:sz="4" w:space="0" w:color="D726FF" w:themeColor="accent4" w:themeTint="90"/>
        <w:right w:val="single" w:sz="4" w:space="0" w:color="D726FF" w:themeColor="accent4" w:themeTint="90"/>
        <w:insideH w:val="single" w:sz="4" w:space="0" w:color="D726F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68007F" w:themeColor="accent4" w:fill="68007F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D9EFF" w:themeColor="accent4" w:themeTint="40" w:fill="ED9EF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D9EFF" w:themeColor="accent4" w:themeTint="40" w:fill="ED9EF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69EFF" w:themeColor="accent5" w:themeTint="90"/>
        <w:left w:val="single" w:sz="4" w:space="0" w:color="569EFF" w:themeColor="accent5" w:themeTint="90"/>
        <w:bottom w:val="single" w:sz="4" w:space="0" w:color="569EFF" w:themeColor="accent5" w:themeTint="90"/>
        <w:right w:val="single" w:sz="4" w:space="0" w:color="569EFF" w:themeColor="accent5" w:themeTint="90"/>
        <w:insideH w:val="single" w:sz="4" w:space="0" w:color="569EFF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5BD3" w:themeColor="accent5" w:fill="005BD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3D3FF" w:themeColor="accent5" w:themeTint="40" w:fill="B3D3FF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3D3FF" w:themeColor="accent5" w:themeTint="40" w:fill="B3D3FF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3878FF" w:themeColor="accent6" w:themeTint="90"/>
        <w:left w:val="single" w:sz="4" w:space="0" w:color="3878FF" w:themeColor="accent6" w:themeTint="90"/>
        <w:bottom w:val="single" w:sz="4" w:space="0" w:color="3878FF" w:themeColor="accent6" w:themeTint="90"/>
        <w:right w:val="single" w:sz="4" w:space="0" w:color="3878FF" w:themeColor="accent6" w:themeTint="90"/>
        <w:insideH w:val="single" w:sz="4" w:space="0" w:color="3878FF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349E" w:themeColor="accent6" w:fill="00349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6C3FF" w:themeColor="accent6" w:themeTint="40" w:fill="A6C3F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6C3FF" w:themeColor="accent6" w:themeTint="40" w:fill="A6C3F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388C" w:themeColor="accent1"/>
        <w:left w:val="single" w:sz="32" w:space="0" w:color="FF388C" w:themeColor="accent1"/>
        <w:bottom w:val="single" w:sz="32" w:space="0" w:color="FF388C" w:themeColor="accent1"/>
        <w:right w:val="single" w:sz="32" w:space="0" w:color="FF388C" w:themeColor="accent1"/>
      </w:tblBorders>
      <w:shd w:val="clear" w:color="FF388C" w:themeColor="accent1" w:fill="FF388C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388C" w:themeColor="accent1"/>
          <w:bottom w:val="single" w:sz="12" w:space="0" w:color="FFFFFF" w:themeColor="light1"/>
        </w:tcBorders>
        <w:shd w:val="clear" w:color="FF388C" w:themeColor="accent1" w:fill="FF388C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388C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388C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388C" w:themeColor="accent1" w:fill="FF388C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388C" w:themeColor="accent1" w:fill="FF388C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388C" w:themeColor="accent1" w:fill="FF388C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5898" w:themeColor="accent2" w:themeTint="97"/>
        <w:left w:val="single" w:sz="32" w:space="0" w:color="FF5898" w:themeColor="accent2" w:themeTint="97"/>
        <w:bottom w:val="single" w:sz="32" w:space="0" w:color="FF5898" w:themeColor="accent2" w:themeTint="97"/>
        <w:right w:val="single" w:sz="32" w:space="0" w:color="FF5898" w:themeColor="accent2" w:themeTint="97"/>
      </w:tblBorders>
      <w:shd w:val="clear" w:color="FF5898" w:themeColor="accent2" w:themeTint="97" w:fill="FF5898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5898" w:themeColor="accent2" w:themeTint="97"/>
          <w:bottom w:val="single" w:sz="12" w:space="0" w:color="FFFFFF" w:themeColor="light1"/>
        </w:tcBorders>
        <w:shd w:val="clear" w:color="FF5898" w:themeColor="accent2" w:themeTint="97" w:fill="FF5898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5898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5898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5898" w:themeColor="accent2" w:themeTint="97" w:fill="FF5898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5898" w:themeColor="accent2" w:themeTint="97" w:fill="FF5898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5898" w:themeColor="accent2" w:themeTint="97" w:fill="FF5898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2BD7" w:themeColor="accent3" w:themeTint="98"/>
        <w:left w:val="single" w:sz="32" w:space="0" w:color="FF2BD7" w:themeColor="accent3" w:themeTint="98"/>
        <w:bottom w:val="single" w:sz="32" w:space="0" w:color="FF2BD7" w:themeColor="accent3" w:themeTint="98"/>
        <w:right w:val="single" w:sz="32" w:space="0" w:color="FF2BD7" w:themeColor="accent3" w:themeTint="98"/>
      </w:tblBorders>
      <w:shd w:val="clear" w:color="FF2BD7" w:themeColor="accent3" w:themeTint="98" w:fill="FF2BD7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2BD7" w:themeColor="accent3" w:themeTint="98"/>
          <w:bottom w:val="single" w:sz="12" w:space="0" w:color="FFFFFF" w:themeColor="light1"/>
        </w:tcBorders>
        <w:shd w:val="clear" w:color="FF2BD7" w:themeColor="accent3" w:themeTint="98" w:fill="FF2BD7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2BD7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2BD7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2BD7" w:themeColor="accent3" w:themeTint="98" w:fill="FF2BD7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2BD7" w:themeColor="accent3" w:themeTint="98" w:fill="FF2BD7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2BD7" w:themeColor="accent3" w:themeTint="98" w:fill="FF2BD7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417FF" w:themeColor="accent4" w:themeTint="9A"/>
        <w:left w:val="single" w:sz="32" w:space="0" w:color="D417FF" w:themeColor="accent4" w:themeTint="9A"/>
        <w:bottom w:val="single" w:sz="32" w:space="0" w:color="D417FF" w:themeColor="accent4" w:themeTint="9A"/>
        <w:right w:val="single" w:sz="32" w:space="0" w:color="D417FF" w:themeColor="accent4" w:themeTint="9A"/>
      </w:tblBorders>
      <w:shd w:val="clear" w:color="D417FF" w:themeColor="accent4" w:themeTint="9A" w:fill="D417FF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417FF" w:themeColor="accent4" w:themeTint="9A"/>
          <w:bottom w:val="single" w:sz="12" w:space="0" w:color="FFFFFF" w:themeColor="light1"/>
        </w:tcBorders>
        <w:shd w:val="clear" w:color="D417FF" w:themeColor="accent4" w:themeTint="9A" w:fill="D417FF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417FF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417FF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417FF" w:themeColor="accent4" w:themeTint="9A" w:fill="D417FF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417FF" w:themeColor="accent4" w:themeTint="9A" w:fill="D417FF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417FF" w:themeColor="accent4" w:themeTint="9A" w:fill="D417FF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A97FF" w:themeColor="accent5" w:themeTint="9A"/>
        <w:left w:val="single" w:sz="32" w:space="0" w:color="4A97FF" w:themeColor="accent5" w:themeTint="9A"/>
        <w:bottom w:val="single" w:sz="32" w:space="0" w:color="4A97FF" w:themeColor="accent5" w:themeTint="9A"/>
        <w:right w:val="single" w:sz="32" w:space="0" w:color="4A97FF" w:themeColor="accent5" w:themeTint="9A"/>
      </w:tblBorders>
      <w:shd w:val="clear" w:color="4A97FF" w:themeColor="accent5" w:themeTint="9A" w:fill="4A97FF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A97FF" w:themeColor="accent5" w:themeTint="9A"/>
          <w:bottom w:val="single" w:sz="12" w:space="0" w:color="FFFFFF" w:themeColor="light1"/>
        </w:tcBorders>
        <w:shd w:val="clear" w:color="4A97FF" w:themeColor="accent5" w:themeTint="9A" w:fill="4A97FF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A97FF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A97FF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A97FF" w:themeColor="accent5" w:themeTint="9A" w:fill="4A97FF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A97FF" w:themeColor="accent5" w:themeTint="9A" w:fill="4A97FF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A97FF" w:themeColor="accent5" w:themeTint="9A" w:fill="4A97FF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2D71FF" w:themeColor="accent6" w:themeTint="98"/>
        <w:left w:val="single" w:sz="32" w:space="0" w:color="2D71FF" w:themeColor="accent6" w:themeTint="98"/>
        <w:bottom w:val="single" w:sz="32" w:space="0" w:color="2D71FF" w:themeColor="accent6" w:themeTint="98"/>
        <w:right w:val="single" w:sz="32" w:space="0" w:color="2D71FF" w:themeColor="accent6" w:themeTint="98"/>
      </w:tblBorders>
      <w:shd w:val="clear" w:color="2D71FF" w:themeColor="accent6" w:themeTint="98" w:fill="2D71FF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2D71FF" w:themeColor="accent6" w:themeTint="98"/>
          <w:bottom w:val="single" w:sz="12" w:space="0" w:color="FFFFFF" w:themeColor="light1"/>
        </w:tcBorders>
        <w:shd w:val="clear" w:color="2D71FF" w:themeColor="accent6" w:themeTint="98" w:fill="2D71FF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2D71FF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2D71FF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2D71FF" w:themeColor="accent6" w:themeTint="98" w:fill="2D71FF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2D71FF" w:themeColor="accent6" w:themeTint="98" w:fill="2D71FF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2D71FF" w:themeColor="accent6" w:themeTint="98" w:fill="2D71FF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388C" w:themeColor="accent1"/>
        <w:bottom w:val="single" w:sz="4" w:space="0" w:color="FF388C" w:themeColor="accent1"/>
      </w:tblBorders>
    </w:tblPr>
    <w:tblStylePr w:type="firstRow">
      <w:rPr>
        <w:b/>
        <w:color w:val="B5004C" w:themeColor="accent1" w:themeShade="95"/>
      </w:rPr>
      <w:tblPr/>
      <w:tcPr>
        <w:tcBorders>
          <w:bottom w:val="single" w:sz="4" w:space="0" w:color="FF388C" w:themeColor="accent1"/>
        </w:tcBorders>
      </w:tcPr>
    </w:tblStylePr>
    <w:tblStylePr w:type="lastRow">
      <w:rPr>
        <w:b/>
        <w:color w:val="B5004C" w:themeColor="accent1" w:themeShade="95"/>
      </w:rPr>
      <w:tblPr/>
      <w:tcPr>
        <w:tcBorders>
          <w:top w:val="single" w:sz="4" w:space="0" w:color="FF388C" w:themeColor="accent1"/>
        </w:tcBorders>
      </w:tcPr>
    </w:tblStylePr>
    <w:tblStylePr w:type="firstCol">
      <w:rPr>
        <w:b/>
        <w:color w:val="B5004C" w:themeColor="accent1" w:themeShade="95"/>
      </w:rPr>
    </w:tblStylePr>
    <w:tblStylePr w:type="lastCol">
      <w:rPr>
        <w:b/>
        <w:color w:val="B5004C" w:themeColor="accent1" w:themeShade="95"/>
      </w:rPr>
    </w:tblStylePr>
    <w:tblStylePr w:type="band1Vert">
      <w:tblPr/>
      <w:tcPr>
        <w:shd w:val="clear" w:color="FFCDE1" w:themeColor="accent1" w:themeTint="40" w:fill="FFCDE1" w:themeFill="accent1" w:themeFillTint="40"/>
      </w:tcPr>
    </w:tblStylePr>
    <w:tblStylePr w:type="band1Horz">
      <w:rPr>
        <w:rFonts w:ascii="Arial" w:hAnsi="Arial"/>
        <w:color w:val="B5004C" w:themeColor="accent1" w:themeShade="95"/>
        <w:sz w:val="22"/>
      </w:rPr>
      <w:tblPr/>
      <w:tcPr>
        <w:shd w:val="clear" w:color="FFCDE1" w:themeColor="accent1" w:themeTint="40" w:fill="FFCDE1" w:themeFill="accent1" w:themeFillTint="40"/>
      </w:tcPr>
    </w:tblStylePr>
    <w:tblStylePr w:type="band2Horz">
      <w:rPr>
        <w:rFonts w:ascii="Arial" w:hAnsi="Arial"/>
        <w:color w:val="B5004C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5898" w:themeColor="accent2" w:themeTint="97"/>
        <w:bottom w:val="single" w:sz="4" w:space="0" w:color="FF5898" w:themeColor="accent2" w:themeTint="97"/>
      </w:tblBorders>
    </w:tblPr>
    <w:tblStylePr w:type="firstRow">
      <w:rPr>
        <w:b/>
        <w:color w:val="FF5898" w:themeColor="accent2" w:themeTint="97" w:themeShade="95"/>
      </w:rPr>
      <w:tblPr/>
      <w:tcPr>
        <w:tcBorders>
          <w:bottom w:val="single" w:sz="4" w:space="0" w:color="FF5898" w:themeColor="accent2" w:themeTint="97"/>
        </w:tcBorders>
      </w:tcPr>
    </w:tblStylePr>
    <w:tblStylePr w:type="lastRow">
      <w:rPr>
        <w:b/>
        <w:color w:val="FF5898" w:themeColor="accent2" w:themeTint="97" w:themeShade="95"/>
      </w:rPr>
      <w:tblPr/>
      <w:tcPr>
        <w:tcBorders>
          <w:top w:val="single" w:sz="4" w:space="0" w:color="FF5898" w:themeColor="accent2" w:themeTint="97"/>
        </w:tcBorders>
      </w:tcPr>
    </w:tblStylePr>
    <w:tblStylePr w:type="firstCol">
      <w:rPr>
        <w:b/>
        <w:color w:val="FF5898" w:themeColor="accent2" w:themeTint="97" w:themeShade="95"/>
      </w:rPr>
    </w:tblStylePr>
    <w:tblStylePr w:type="lastCol">
      <w:rPr>
        <w:b/>
        <w:color w:val="FF5898" w:themeColor="accent2" w:themeTint="97" w:themeShade="95"/>
      </w:rPr>
    </w:tblStylePr>
    <w:tblStylePr w:type="band1Vert">
      <w:tblPr/>
      <w:tcPr>
        <w:shd w:val="clear" w:color="FFB8D3" w:themeColor="accent2" w:themeTint="40" w:fill="FFB8D3" w:themeFill="accent2" w:themeFillTint="40"/>
      </w:tcPr>
    </w:tblStylePr>
    <w:tblStylePr w:type="band1Horz">
      <w:rPr>
        <w:rFonts w:ascii="Arial" w:hAnsi="Arial"/>
        <w:color w:val="FF5898" w:themeColor="accent2" w:themeTint="97" w:themeShade="95"/>
        <w:sz w:val="22"/>
      </w:rPr>
      <w:tblPr/>
      <w:tcPr>
        <w:shd w:val="clear" w:color="FFB8D3" w:themeColor="accent2" w:themeTint="40" w:fill="FFB8D3" w:themeFill="accent2" w:themeFillTint="40"/>
      </w:tcPr>
    </w:tblStylePr>
    <w:tblStylePr w:type="band2Horz">
      <w:rPr>
        <w:rFonts w:ascii="Arial" w:hAnsi="Arial"/>
        <w:color w:val="FF5898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2BD7" w:themeColor="accent3" w:themeTint="98"/>
        <w:bottom w:val="single" w:sz="4" w:space="0" w:color="FF2BD7" w:themeColor="accent3" w:themeTint="98"/>
      </w:tblBorders>
    </w:tblPr>
    <w:tblStylePr w:type="firstRow">
      <w:rPr>
        <w:b/>
        <w:color w:val="FF2BD7" w:themeColor="accent3" w:themeTint="98" w:themeShade="95"/>
      </w:rPr>
      <w:tblPr/>
      <w:tcPr>
        <w:tcBorders>
          <w:bottom w:val="single" w:sz="4" w:space="0" w:color="FF2BD7" w:themeColor="accent3" w:themeTint="98"/>
        </w:tcBorders>
      </w:tcPr>
    </w:tblStylePr>
    <w:tblStylePr w:type="lastRow">
      <w:rPr>
        <w:b/>
        <w:color w:val="FF2BD7" w:themeColor="accent3" w:themeTint="98" w:themeShade="95"/>
      </w:rPr>
      <w:tblPr/>
      <w:tcPr>
        <w:tcBorders>
          <w:top w:val="single" w:sz="4" w:space="0" w:color="FF2BD7" w:themeColor="accent3" w:themeTint="98"/>
        </w:tcBorders>
      </w:tcPr>
    </w:tblStylePr>
    <w:tblStylePr w:type="firstCol">
      <w:rPr>
        <w:b/>
        <w:color w:val="FF2BD7" w:themeColor="accent3" w:themeTint="98" w:themeShade="95"/>
      </w:rPr>
    </w:tblStylePr>
    <w:tblStylePr w:type="lastCol">
      <w:rPr>
        <w:b/>
        <w:color w:val="FF2BD7" w:themeColor="accent3" w:themeTint="98" w:themeShade="95"/>
      </w:rPr>
    </w:tblStylePr>
    <w:tblStylePr w:type="band1Vert">
      <w:tblPr/>
      <w:tcPr>
        <w:shd w:val="clear" w:color="FFA6EE" w:themeColor="accent3" w:themeTint="40" w:fill="FFA6EE" w:themeFill="accent3" w:themeFillTint="40"/>
      </w:tcPr>
    </w:tblStylePr>
    <w:tblStylePr w:type="band1Horz">
      <w:rPr>
        <w:rFonts w:ascii="Arial" w:hAnsi="Arial"/>
        <w:color w:val="FF2BD7" w:themeColor="accent3" w:themeTint="98" w:themeShade="95"/>
        <w:sz w:val="22"/>
      </w:rPr>
      <w:tblPr/>
      <w:tcPr>
        <w:shd w:val="clear" w:color="FFA6EE" w:themeColor="accent3" w:themeTint="40" w:fill="FFA6EE" w:themeFill="accent3" w:themeFillTint="40"/>
      </w:tcPr>
    </w:tblStylePr>
    <w:tblStylePr w:type="band2Horz">
      <w:rPr>
        <w:rFonts w:ascii="Arial" w:hAnsi="Arial"/>
        <w:color w:val="FF2BD7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417FF" w:themeColor="accent4" w:themeTint="9A"/>
        <w:bottom w:val="single" w:sz="4" w:space="0" w:color="D417FF" w:themeColor="accent4" w:themeTint="9A"/>
      </w:tblBorders>
    </w:tblPr>
    <w:tblStylePr w:type="firstRow">
      <w:rPr>
        <w:b/>
        <w:color w:val="D417FF" w:themeColor="accent4" w:themeTint="9A" w:themeShade="95"/>
      </w:rPr>
      <w:tblPr/>
      <w:tcPr>
        <w:tcBorders>
          <w:bottom w:val="single" w:sz="4" w:space="0" w:color="D417FF" w:themeColor="accent4" w:themeTint="9A"/>
        </w:tcBorders>
      </w:tcPr>
    </w:tblStylePr>
    <w:tblStylePr w:type="lastRow">
      <w:rPr>
        <w:b/>
        <w:color w:val="D417FF" w:themeColor="accent4" w:themeTint="9A" w:themeShade="95"/>
      </w:rPr>
      <w:tblPr/>
      <w:tcPr>
        <w:tcBorders>
          <w:top w:val="single" w:sz="4" w:space="0" w:color="D417FF" w:themeColor="accent4" w:themeTint="9A"/>
        </w:tcBorders>
      </w:tcPr>
    </w:tblStylePr>
    <w:tblStylePr w:type="firstCol">
      <w:rPr>
        <w:b/>
        <w:color w:val="D417FF" w:themeColor="accent4" w:themeTint="9A" w:themeShade="95"/>
      </w:rPr>
    </w:tblStylePr>
    <w:tblStylePr w:type="lastCol">
      <w:rPr>
        <w:b/>
        <w:color w:val="D417FF" w:themeColor="accent4" w:themeTint="9A" w:themeShade="95"/>
      </w:rPr>
    </w:tblStylePr>
    <w:tblStylePr w:type="band1Vert">
      <w:tblPr/>
      <w:tcPr>
        <w:shd w:val="clear" w:color="ED9EFF" w:themeColor="accent4" w:themeTint="40" w:fill="ED9EFF" w:themeFill="accent4" w:themeFillTint="40"/>
      </w:tcPr>
    </w:tblStylePr>
    <w:tblStylePr w:type="band1Horz">
      <w:rPr>
        <w:rFonts w:ascii="Arial" w:hAnsi="Arial"/>
        <w:color w:val="D417FF" w:themeColor="accent4" w:themeTint="9A" w:themeShade="95"/>
        <w:sz w:val="22"/>
      </w:rPr>
      <w:tblPr/>
      <w:tcPr>
        <w:shd w:val="clear" w:color="ED9EFF" w:themeColor="accent4" w:themeTint="40" w:fill="ED9EFF" w:themeFill="accent4" w:themeFillTint="40"/>
      </w:tcPr>
    </w:tblStylePr>
    <w:tblStylePr w:type="band2Horz">
      <w:rPr>
        <w:rFonts w:ascii="Arial" w:hAnsi="Arial"/>
        <w:color w:val="D417FF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A97FF" w:themeColor="accent5" w:themeTint="9A"/>
        <w:bottom w:val="single" w:sz="4" w:space="0" w:color="4A97FF" w:themeColor="accent5" w:themeTint="9A"/>
      </w:tblBorders>
    </w:tblPr>
    <w:tblStylePr w:type="firstRow">
      <w:rPr>
        <w:b/>
        <w:color w:val="4A97FF" w:themeColor="accent5" w:themeTint="9A" w:themeShade="95"/>
      </w:rPr>
      <w:tblPr/>
      <w:tcPr>
        <w:tcBorders>
          <w:bottom w:val="single" w:sz="4" w:space="0" w:color="4A97FF" w:themeColor="accent5" w:themeTint="9A"/>
        </w:tcBorders>
      </w:tcPr>
    </w:tblStylePr>
    <w:tblStylePr w:type="lastRow">
      <w:rPr>
        <w:b/>
        <w:color w:val="4A97FF" w:themeColor="accent5" w:themeTint="9A" w:themeShade="95"/>
      </w:rPr>
      <w:tblPr/>
      <w:tcPr>
        <w:tcBorders>
          <w:top w:val="single" w:sz="4" w:space="0" w:color="4A97FF" w:themeColor="accent5" w:themeTint="9A"/>
        </w:tcBorders>
      </w:tcPr>
    </w:tblStylePr>
    <w:tblStylePr w:type="firstCol">
      <w:rPr>
        <w:b/>
        <w:color w:val="4A97FF" w:themeColor="accent5" w:themeTint="9A" w:themeShade="95"/>
      </w:rPr>
    </w:tblStylePr>
    <w:tblStylePr w:type="lastCol">
      <w:rPr>
        <w:b/>
        <w:color w:val="4A97FF" w:themeColor="accent5" w:themeTint="9A" w:themeShade="95"/>
      </w:rPr>
    </w:tblStylePr>
    <w:tblStylePr w:type="band1Vert">
      <w:tblPr/>
      <w:tcPr>
        <w:shd w:val="clear" w:color="B3D3FF" w:themeColor="accent5" w:themeTint="40" w:fill="B3D3FF" w:themeFill="accent5" w:themeFillTint="40"/>
      </w:tcPr>
    </w:tblStylePr>
    <w:tblStylePr w:type="band1Horz">
      <w:rPr>
        <w:rFonts w:ascii="Arial" w:hAnsi="Arial"/>
        <w:color w:val="4A97FF" w:themeColor="accent5" w:themeTint="9A" w:themeShade="95"/>
        <w:sz w:val="22"/>
      </w:rPr>
      <w:tblPr/>
      <w:tcPr>
        <w:shd w:val="clear" w:color="B3D3FF" w:themeColor="accent5" w:themeTint="40" w:fill="B3D3FF" w:themeFill="accent5" w:themeFillTint="40"/>
      </w:tcPr>
    </w:tblStylePr>
    <w:tblStylePr w:type="band2Horz">
      <w:rPr>
        <w:rFonts w:ascii="Arial" w:hAnsi="Arial"/>
        <w:color w:val="4A97FF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2D71FF" w:themeColor="accent6" w:themeTint="98"/>
        <w:bottom w:val="single" w:sz="4" w:space="0" w:color="2D71FF" w:themeColor="accent6" w:themeTint="98"/>
      </w:tblBorders>
    </w:tblPr>
    <w:tblStylePr w:type="firstRow">
      <w:rPr>
        <w:b/>
        <w:color w:val="2D71FF" w:themeColor="accent6" w:themeTint="98" w:themeShade="95"/>
      </w:rPr>
      <w:tblPr/>
      <w:tcPr>
        <w:tcBorders>
          <w:bottom w:val="single" w:sz="4" w:space="0" w:color="2D71FF" w:themeColor="accent6" w:themeTint="98"/>
        </w:tcBorders>
      </w:tcPr>
    </w:tblStylePr>
    <w:tblStylePr w:type="lastRow">
      <w:rPr>
        <w:b/>
        <w:color w:val="2D71FF" w:themeColor="accent6" w:themeTint="98" w:themeShade="95"/>
      </w:rPr>
      <w:tblPr/>
      <w:tcPr>
        <w:tcBorders>
          <w:top w:val="single" w:sz="4" w:space="0" w:color="2D71FF" w:themeColor="accent6" w:themeTint="98"/>
        </w:tcBorders>
      </w:tcPr>
    </w:tblStylePr>
    <w:tblStylePr w:type="firstCol">
      <w:rPr>
        <w:b/>
        <w:color w:val="2D71FF" w:themeColor="accent6" w:themeTint="98" w:themeShade="95"/>
      </w:rPr>
    </w:tblStylePr>
    <w:tblStylePr w:type="lastCol">
      <w:rPr>
        <w:b/>
        <w:color w:val="2D71FF" w:themeColor="accent6" w:themeTint="98" w:themeShade="95"/>
      </w:rPr>
    </w:tblStylePr>
    <w:tblStylePr w:type="band1Vert">
      <w:tblPr/>
      <w:tcPr>
        <w:shd w:val="clear" w:color="A6C3FF" w:themeColor="accent6" w:themeTint="40" w:fill="A6C3FF" w:themeFill="accent6" w:themeFillTint="40"/>
      </w:tcPr>
    </w:tblStylePr>
    <w:tblStylePr w:type="band1Horz">
      <w:rPr>
        <w:rFonts w:ascii="Arial" w:hAnsi="Arial"/>
        <w:color w:val="2D71FF" w:themeColor="accent6" w:themeTint="98" w:themeShade="95"/>
        <w:sz w:val="22"/>
      </w:rPr>
      <w:tblPr/>
      <w:tcPr>
        <w:shd w:val="clear" w:color="A6C3FF" w:themeColor="accent6" w:themeTint="40" w:fill="A6C3FF" w:themeFill="accent6" w:themeFillTint="40"/>
      </w:tcPr>
    </w:tblStylePr>
    <w:tblStylePr w:type="band2Horz">
      <w:rPr>
        <w:rFonts w:ascii="Arial" w:hAnsi="Arial"/>
        <w:color w:val="2D71FF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388C" w:themeColor="accent1"/>
      </w:tblBorders>
    </w:tblPr>
    <w:tblStylePr w:type="firstRow">
      <w:rPr>
        <w:rFonts w:ascii="Arial" w:hAnsi="Arial"/>
        <w:i/>
        <w:color w:val="B5004C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388C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5004C" w:themeColor="accent1" w:themeShade="95"/>
        <w:sz w:val="22"/>
      </w:rPr>
      <w:tblPr/>
      <w:tcPr>
        <w:tcBorders>
          <w:top w:val="single" w:sz="4" w:space="0" w:color="FF388C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5004C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388C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B5004C" w:themeColor="accent1" w:themeShade="95"/>
        <w:sz w:val="22"/>
      </w:rPr>
      <w:tblPr/>
      <w:tcPr>
        <w:tcBorders>
          <w:top w:val="none" w:sz="4" w:space="0" w:color="000000"/>
          <w:left w:val="single" w:sz="4" w:space="0" w:color="FF388C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CDE1" w:themeColor="accent1" w:themeTint="40" w:fill="FFCDE1" w:themeFill="accent1" w:themeFillTint="40"/>
      </w:tcPr>
    </w:tblStylePr>
    <w:tblStylePr w:type="band1Horz">
      <w:rPr>
        <w:rFonts w:ascii="Arial" w:hAnsi="Arial"/>
        <w:color w:val="B5004C" w:themeColor="accent1" w:themeShade="95"/>
        <w:sz w:val="22"/>
      </w:rPr>
      <w:tblPr/>
      <w:tcPr>
        <w:shd w:val="clear" w:color="FFCDE1" w:themeColor="accent1" w:themeTint="40" w:fill="FFCDE1" w:themeFill="accent1" w:themeFillTint="40"/>
      </w:tcPr>
    </w:tblStylePr>
    <w:tblStylePr w:type="band2Horz">
      <w:rPr>
        <w:rFonts w:ascii="Arial" w:hAnsi="Arial"/>
        <w:color w:val="B5004C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5898" w:themeColor="accent2" w:themeTint="97"/>
      </w:tblBorders>
    </w:tblPr>
    <w:tblStylePr w:type="firstRow">
      <w:rPr>
        <w:rFonts w:ascii="Arial" w:hAnsi="Arial"/>
        <w:i/>
        <w:color w:val="FF5898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5898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5898" w:themeColor="accent2" w:themeTint="97" w:themeShade="95"/>
        <w:sz w:val="22"/>
      </w:rPr>
      <w:tblPr/>
      <w:tcPr>
        <w:tcBorders>
          <w:top w:val="single" w:sz="4" w:space="0" w:color="FF5898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5898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5898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F5898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F5898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B8D3" w:themeColor="accent2" w:themeTint="40" w:fill="FFB8D3" w:themeFill="accent2" w:themeFillTint="40"/>
      </w:tcPr>
    </w:tblStylePr>
    <w:tblStylePr w:type="band1Horz">
      <w:rPr>
        <w:rFonts w:ascii="Arial" w:hAnsi="Arial"/>
        <w:color w:val="FF5898" w:themeColor="accent2" w:themeTint="97" w:themeShade="95"/>
        <w:sz w:val="22"/>
      </w:rPr>
      <w:tblPr/>
      <w:tcPr>
        <w:shd w:val="clear" w:color="FFB8D3" w:themeColor="accent2" w:themeTint="40" w:fill="FFB8D3" w:themeFill="accent2" w:themeFillTint="40"/>
      </w:tcPr>
    </w:tblStylePr>
    <w:tblStylePr w:type="band2Horz">
      <w:rPr>
        <w:rFonts w:ascii="Arial" w:hAnsi="Arial"/>
        <w:color w:val="FF5898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2BD7" w:themeColor="accent3" w:themeTint="98"/>
      </w:tblBorders>
    </w:tblPr>
    <w:tblStylePr w:type="firstRow">
      <w:rPr>
        <w:rFonts w:ascii="Arial" w:hAnsi="Arial"/>
        <w:i/>
        <w:color w:val="FF2BD7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2BD7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2BD7" w:themeColor="accent3" w:themeTint="98" w:themeShade="95"/>
        <w:sz w:val="22"/>
      </w:rPr>
      <w:tblPr/>
      <w:tcPr>
        <w:tcBorders>
          <w:top w:val="single" w:sz="4" w:space="0" w:color="FF2BD7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2BD7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2BD7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F2BD7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FF2BD7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A6EE" w:themeColor="accent3" w:themeTint="40" w:fill="FFA6EE" w:themeFill="accent3" w:themeFillTint="40"/>
      </w:tcPr>
    </w:tblStylePr>
    <w:tblStylePr w:type="band1Horz">
      <w:rPr>
        <w:rFonts w:ascii="Arial" w:hAnsi="Arial"/>
        <w:color w:val="FF2BD7" w:themeColor="accent3" w:themeTint="98" w:themeShade="95"/>
        <w:sz w:val="22"/>
      </w:rPr>
      <w:tblPr/>
      <w:tcPr>
        <w:shd w:val="clear" w:color="FFA6EE" w:themeColor="accent3" w:themeTint="40" w:fill="FFA6EE" w:themeFill="accent3" w:themeFillTint="40"/>
      </w:tcPr>
    </w:tblStylePr>
    <w:tblStylePr w:type="band2Horz">
      <w:rPr>
        <w:rFonts w:ascii="Arial" w:hAnsi="Arial"/>
        <w:color w:val="FF2BD7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417FF" w:themeColor="accent4" w:themeTint="9A"/>
      </w:tblBorders>
    </w:tblPr>
    <w:tblStylePr w:type="firstRow">
      <w:rPr>
        <w:rFonts w:ascii="Arial" w:hAnsi="Arial"/>
        <w:i/>
        <w:color w:val="D417F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417FF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417FF" w:themeColor="accent4" w:themeTint="9A" w:themeShade="95"/>
        <w:sz w:val="22"/>
      </w:rPr>
      <w:tblPr/>
      <w:tcPr>
        <w:tcBorders>
          <w:top w:val="single" w:sz="4" w:space="0" w:color="D417FF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417FF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417FF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417FF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D417FF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D9EFF" w:themeColor="accent4" w:themeTint="40" w:fill="ED9EFF" w:themeFill="accent4" w:themeFillTint="40"/>
      </w:tcPr>
    </w:tblStylePr>
    <w:tblStylePr w:type="band1Horz">
      <w:rPr>
        <w:rFonts w:ascii="Arial" w:hAnsi="Arial"/>
        <w:color w:val="D417FF" w:themeColor="accent4" w:themeTint="9A" w:themeShade="95"/>
        <w:sz w:val="22"/>
      </w:rPr>
      <w:tblPr/>
      <w:tcPr>
        <w:shd w:val="clear" w:color="ED9EFF" w:themeColor="accent4" w:themeTint="40" w:fill="ED9EFF" w:themeFill="accent4" w:themeFillTint="40"/>
      </w:tcPr>
    </w:tblStylePr>
    <w:tblStylePr w:type="band2Horz">
      <w:rPr>
        <w:rFonts w:ascii="Arial" w:hAnsi="Arial"/>
        <w:color w:val="D417FF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A97FF" w:themeColor="accent5" w:themeTint="9A"/>
      </w:tblBorders>
    </w:tblPr>
    <w:tblStylePr w:type="firstRow">
      <w:rPr>
        <w:rFonts w:ascii="Arial" w:hAnsi="Arial"/>
        <w:i/>
        <w:color w:val="4A97FF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A97FF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A97FF" w:themeColor="accent5" w:themeTint="9A" w:themeShade="95"/>
        <w:sz w:val="22"/>
      </w:rPr>
      <w:tblPr/>
      <w:tcPr>
        <w:tcBorders>
          <w:top w:val="single" w:sz="4" w:space="0" w:color="4A97FF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A97FF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A97FF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4A97FF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A97FF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3D3FF" w:themeColor="accent5" w:themeTint="40" w:fill="B3D3FF" w:themeFill="accent5" w:themeFillTint="40"/>
      </w:tcPr>
    </w:tblStylePr>
    <w:tblStylePr w:type="band1Horz">
      <w:rPr>
        <w:rFonts w:ascii="Arial" w:hAnsi="Arial"/>
        <w:color w:val="4A97FF" w:themeColor="accent5" w:themeTint="9A" w:themeShade="95"/>
        <w:sz w:val="22"/>
      </w:rPr>
      <w:tblPr/>
      <w:tcPr>
        <w:shd w:val="clear" w:color="B3D3FF" w:themeColor="accent5" w:themeTint="40" w:fill="B3D3FF" w:themeFill="accent5" w:themeFillTint="40"/>
      </w:tcPr>
    </w:tblStylePr>
    <w:tblStylePr w:type="band2Horz">
      <w:rPr>
        <w:rFonts w:ascii="Arial" w:hAnsi="Arial"/>
        <w:color w:val="4A97FF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2D71FF" w:themeColor="accent6" w:themeTint="98"/>
      </w:tblBorders>
    </w:tblPr>
    <w:tblStylePr w:type="firstRow">
      <w:rPr>
        <w:rFonts w:ascii="Arial" w:hAnsi="Arial"/>
        <w:i/>
        <w:color w:val="2D71FF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2D71FF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D71FF" w:themeColor="accent6" w:themeTint="98" w:themeShade="95"/>
        <w:sz w:val="22"/>
      </w:rPr>
      <w:tblPr/>
      <w:tcPr>
        <w:tcBorders>
          <w:top w:val="single" w:sz="4" w:space="0" w:color="2D71FF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71FF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2D71FF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2D71FF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2D71FF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A6C3FF" w:themeColor="accent6" w:themeTint="40" w:fill="A6C3FF" w:themeFill="accent6" w:themeFillTint="40"/>
      </w:tcPr>
    </w:tblStylePr>
    <w:tblStylePr w:type="band1Horz">
      <w:rPr>
        <w:rFonts w:ascii="Arial" w:hAnsi="Arial"/>
        <w:color w:val="2D71FF" w:themeColor="accent6" w:themeTint="98" w:themeShade="95"/>
        <w:sz w:val="22"/>
      </w:rPr>
      <w:tblPr/>
      <w:tcPr>
        <w:shd w:val="clear" w:color="A6C3FF" w:themeColor="accent6" w:themeTint="40" w:fill="A6C3FF" w:themeFill="accent6" w:themeFillTint="40"/>
      </w:tcPr>
    </w:tblStylePr>
    <w:tblStylePr w:type="band2Horz">
      <w:rPr>
        <w:rFonts w:ascii="Arial" w:hAnsi="Arial"/>
        <w:color w:val="2D71FF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C0DA" w:themeColor="accent1" w:themeTint="50" w:fill="FFC0D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C0DA" w:themeColor="accent1" w:themeTint="50" w:fill="FFC0D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B5004C" w:themeColor="accent1" w:themeShade="95"/>
        <w:left w:val="single" w:sz="4" w:space="0" w:color="B5004C" w:themeColor="accent1" w:themeShade="95"/>
        <w:bottom w:val="single" w:sz="4" w:space="0" w:color="B5004C" w:themeColor="accent1" w:themeShade="95"/>
        <w:right w:val="single" w:sz="4" w:space="0" w:color="B5004C" w:themeColor="accent1" w:themeShade="95"/>
        <w:insideH w:val="single" w:sz="4" w:space="0" w:color="B5004C" w:themeColor="accent1" w:themeShade="95"/>
        <w:insideV w:val="single" w:sz="4" w:space="0" w:color="B5004C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4894" w:themeColor="accent1" w:themeTint="EA" w:fill="FF4894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C0DA" w:themeColor="accent1" w:themeTint="50" w:fill="FFC0D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C0DA" w:themeColor="accent1" w:themeTint="50" w:fill="FFC0D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850033" w:themeColor="accent2" w:themeShade="95"/>
        <w:left w:val="single" w:sz="4" w:space="0" w:color="850033" w:themeColor="accent2" w:themeShade="95"/>
        <w:bottom w:val="single" w:sz="4" w:space="0" w:color="850033" w:themeColor="accent2" w:themeShade="95"/>
        <w:right w:val="single" w:sz="4" w:space="0" w:color="850033" w:themeColor="accent2" w:themeShade="95"/>
        <w:insideH w:val="single" w:sz="4" w:space="0" w:color="850033" w:themeColor="accent2" w:themeShade="95"/>
        <w:insideV w:val="single" w:sz="4" w:space="0" w:color="850033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5898" w:themeColor="accent2" w:themeTint="97" w:fill="FF5898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C7DD" w:themeColor="accent2" w:themeTint="32" w:fill="FFC7DD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5B0049" w:themeColor="accent3" w:themeShade="95"/>
        <w:left w:val="single" w:sz="4" w:space="0" w:color="5B0049" w:themeColor="accent3" w:themeShade="95"/>
        <w:bottom w:val="single" w:sz="4" w:space="0" w:color="5B0049" w:themeColor="accent3" w:themeShade="95"/>
        <w:right w:val="single" w:sz="4" w:space="0" w:color="5B0049" w:themeColor="accent3" w:themeShade="95"/>
        <w:insideH w:val="single" w:sz="4" w:space="0" w:color="5B0049" w:themeColor="accent3" w:themeShade="95"/>
        <w:insideV w:val="single" w:sz="4" w:space="0" w:color="5B0049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D007F" w:themeColor="accent3" w:themeTint="FE" w:fill="9D007F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B6F1" w:themeColor="accent3" w:themeTint="34" w:fill="FFB6F1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3C004A" w:themeColor="accent4" w:themeShade="95"/>
        <w:left w:val="single" w:sz="4" w:space="0" w:color="3C004A" w:themeColor="accent4" w:themeShade="95"/>
        <w:bottom w:val="single" w:sz="4" w:space="0" w:color="3C004A" w:themeColor="accent4" w:themeShade="95"/>
        <w:right w:val="single" w:sz="4" w:space="0" w:color="3C004A" w:themeColor="accent4" w:themeShade="95"/>
        <w:insideH w:val="single" w:sz="4" w:space="0" w:color="3C004A" w:themeColor="accent4" w:themeShade="95"/>
        <w:insideV w:val="single" w:sz="4" w:space="0" w:color="3C004A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417FF" w:themeColor="accent4" w:themeTint="9A" w:fill="D417FF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0B0FF" w:themeColor="accent4" w:themeTint="34" w:fill="F0B0FF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00347B" w:themeColor="accent5" w:themeShade="95"/>
        <w:left w:val="single" w:sz="4" w:space="0" w:color="00347B" w:themeColor="accent5" w:themeShade="95"/>
        <w:bottom w:val="single" w:sz="4" w:space="0" w:color="00347B" w:themeColor="accent5" w:themeShade="95"/>
        <w:right w:val="single" w:sz="4" w:space="0" w:color="00347B" w:themeColor="accent5" w:themeShade="95"/>
        <w:insideH w:val="single" w:sz="4" w:space="0" w:color="00347B" w:themeColor="accent5" w:themeShade="95"/>
        <w:insideV w:val="single" w:sz="4" w:space="0" w:color="00347B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5BD3" w:themeColor="accent5" w:fill="005BD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2DCFF" w:themeColor="accent5" w:themeTint="34" w:fill="C2DCFF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</w:rPr>
    <w:tblPr>
      <w:tblStyleRowBandSize w:val="1"/>
      <w:tblStyleColBandSize w:val="1"/>
      <w:tblBorders>
        <w:top w:val="single" w:sz="4" w:space="0" w:color="001D5C" w:themeColor="accent6" w:themeShade="95"/>
        <w:left w:val="single" w:sz="4" w:space="0" w:color="001D5C" w:themeColor="accent6" w:themeShade="95"/>
        <w:bottom w:val="single" w:sz="4" w:space="0" w:color="001D5C" w:themeColor="accent6" w:themeShade="95"/>
        <w:right w:val="single" w:sz="4" w:space="0" w:color="001D5C" w:themeColor="accent6" w:themeShade="95"/>
        <w:insideH w:val="single" w:sz="4" w:space="0" w:color="001D5C" w:themeColor="accent6" w:themeShade="95"/>
        <w:insideV w:val="single" w:sz="4" w:space="0" w:color="001D5C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00349E" w:themeColor="accent6" w:fill="00349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B7CEFF" w:themeColor="accent6" w:themeTint="34" w:fill="B7CEFF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AED0" w:themeColor="accent1" w:themeTint="67"/>
        <w:left w:val="single" w:sz="4" w:space="0" w:color="FFAED0" w:themeColor="accent1" w:themeTint="67"/>
        <w:bottom w:val="single" w:sz="4" w:space="0" w:color="FFAED0" w:themeColor="accent1" w:themeTint="67"/>
        <w:right w:val="single" w:sz="4" w:space="0" w:color="FFAED0" w:themeColor="accent1" w:themeTint="67"/>
        <w:insideH w:val="single" w:sz="4" w:space="0" w:color="FFAED0" w:themeColor="accent1" w:themeTint="67"/>
        <w:insideV w:val="single" w:sz="4" w:space="0" w:color="FFAED0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388C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388C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388C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AED0" w:themeColor="accent1" w:themeTint="67"/>
          <w:left w:val="single" w:sz="4" w:space="0" w:color="FFAED0" w:themeColor="accent1" w:themeTint="67"/>
          <w:bottom w:val="single" w:sz="4" w:space="0" w:color="FFAED0" w:themeColor="accent1" w:themeTint="67"/>
          <w:right w:val="single" w:sz="4" w:space="0" w:color="FFAED0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8DB9" w:themeColor="accent2" w:themeTint="67"/>
        <w:left w:val="single" w:sz="4" w:space="0" w:color="FF8DB9" w:themeColor="accent2" w:themeTint="67"/>
        <w:bottom w:val="single" w:sz="4" w:space="0" w:color="FF8DB9" w:themeColor="accent2" w:themeTint="67"/>
        <w:right w:val="single" w:sz="4" w:space="0" w:color="FF8DB9" w:themeColor="accent2" w:themeTint="67"/>
        <w:insideH w:val="single" w:sz="4" w:space="0" w:color="FF8DB9" w:themeColor="accent2" w:themeTint="67"/>
        <w:insideV w:val="single" w:sz="4" w:space="0" w:color="FF8DB9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5898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5898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5898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8DB9" w:themeColor="accent2" w:themeTint="67"/>
          <w:left w:val="single" w:sz="4" w:space="0" w:color="FF8DB9" w:themeColor="accent2" w:themeTint="67"/>
          <w:bottom w:val="single" w:sz="4" w:space="0" w:color="FF8DB9" w:themeColor="accent2" w:themeTint="67"/>
          <w:right w:val="single" w:sz="4" w:space="0" w:color="FF8DB9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70E4" w:themeColor="accent3" w:themeTint="67"/>
        <w:left w:val="single" w:sz="4" w:space="0" w:color="FF70E4" w:themeColor="accent3" w:themeTint="67"/>
        <w:bottom w:val="single" w:sz="4" w:space="0" w:color="FF70E4" w:themeColor="accent3" w:themeTint="67"/>
        <w:right w:val="single" w:sz="4" w:space="0" w:color="FF70E4" w:themeColor="accent3" w:themeTint="67"/>
        <w:insideH w:val="single" w:sz="4" w:space="0" w:color="FF70E4" w:themeColor="accent3" w:themeTint="67"/>
        <w:insideV w:val="single" w:sz="4" w:space="0" w:color="FF70E4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2BD7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2BD7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2BD7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70E4" w:themeColor="accent3" w:themeTint="67"/>
          <w:left w:val="single" w:sz="4" w:space="0" w:color="FF70E4" w:themeColor="accent3" w:themeTint="67"/>
          <w:bottom w:val="single" w:sz="4" w:space="0" w:color="FF70E4" w:themeColor="accent3" w:themeTint="67"/>
          <w:right w:val="single" w:sz="4" w:space="0" w:color="FF70E4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264FF" w:themeColor="accent4" w:themeTint="67"/>
        <w:left w:val="single" w:sz="4" w:space="0" w:color="E264FF" w:themeColor="accent4" w:themeTint="67"/>
        <w:bottom w:val="single" w:sz="4" w:space="0" w:color="E264FF" w:themeColor="accent4" w:themeTint="67"/>
        <w:right w:val="single" w:sz="4" w:space="0" w:color="E264FF" w:themeColor="accent4" w:themeTint="67"/>
        <w:insideH w:val="single" w:sz="4" w:space="0" w:color="E264FF" w:themeColor="accent4" w:themeTint="67"/>
        <w:insideV w:val="single" w:sz="4" w:space="0" w:color="E264FF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417FF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417FF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417FF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264FF" w:themeColor="accent4" w:themeTint="67"/>
          <w:left w:val="single" w:sz="4" w:space="0" w:color="E264FF" w:themeColor="accent4" w:themeTint="67"/>
          <w:bottom w:val="single" w:sz="4" w:space="0" w:color="E264FF" w:themeColor="accent4" w:themeTint="67"/>
          <w:right w:val="single" w:sz="4" w:space="0" w:color="E264FF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6B9FF" w:themeColor="accent5" w:themeTint="67"/>
        <w:left w:val="single" w:sz="4" w:space="0" w:color="86B9FF" w:themeColor="accent5" w:themeTint="67"/>
        <w:bottom w:val="single" w:sz="4" w:space="0" w:color="86B9FF" w:themeColor="accent5" w:themeTint="67"/>
        <w:right w:val="single" w:sz="4" w:space="0" w:color="86B9FF" w:themeColor="accent5" w:themeTint="67"/>
        <w:insideH w:val="single" w:sz="4" w:space="0" w:color="86B9FF" w:themeColor="accent5" w:themeTint="67"/>
        <w:insideV w:val="single" w:sz="4" w:space="0" w:color="86B9FF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A97FF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A97FF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A97FF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6B9FF" w:themeColor="accent5" w:themeTint="67"/>
          <w:left w:val="single" w:sz="4" w:space="0" w:color="86B9FF" w:themeColor="accent5" w:themeTint="67"/>
          <w:bottom w:val="single" w:sz="4" w:space="0" w:color="86B9FF" w:themeColor="accent5" w:themeTint="67"/>
          <w:right w:val="single" w:sz="4" w:space="0" w:color="86B9FF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9EFF" w:themeColor="accent6" w:themeTint="67"/>
        <w:left w:val="single" w:sz="4" w:space="0" w:color="709EFF" w:themeColor="accent6" w:themeTint="67"/>
        <w:bottom w:val="single" w:sz="4" w:space="0" w:color="709EFF" w:themeColor="accent6" w:themeTint="67"/>
        <w:right w:val="single" w:sz="4" w:space="0" w:color="709EFF" w:themeColor="accent6" w:themeTint="67"/>
        <w:insideH w:val="single" w:sz="4" w:space="0" w:color="709EFF" w:themeColor="accent6" w:themeTint="67"/>
        <w:insideV w:val="single" w:sz="4" w:space="0" w:color="709EFF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2D71FF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2D71FF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2D71FF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709EFF" w:themeColor="accent6" w:themeTint="67"/>
          <w:left w:val="single" w:sz="4" w:space="0" w:color="709EFF" w:themeColor="accent6" w:themeTint="67"/>
          <w:bottom w:val="single" w:sz="4" w:space="0" w:color="709EFF" w:themeColor="accent6" w:themeTint="67"/>
          <w:right w:val="single" w:sz="4" w:space="0" w:color="709EFF" w:themeColor="accent6" w:themeTint="67"/>
        </w:tcBorders>
      </w:tcPr>
    </w:tblStylePr>
  </w:style>
  <w:style w:type="paragraph" w:styleId="a9">
    <w:name w:val="footnote text"/>
    <w:link w:val="aa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af">
    <w:name w:val="TOC Heading"/>
    <w:uiPriority w:val="39"/>
    <w:unhideWhenUsed/>
  </w:style>
  <w:style w:type="paragraph" w:styleId="af0">
    <w:name w:val="table of figures"/>
    <w:uiPriority w:val="99"/>
    <w:unhideWhenUsed/>
    <w:pPr>
      <w:spacing w:after="0"/>
    </w:pPr>
  </w:style>
  <w:style w:type="character" w:customStyle="1" w:styleId="1">
    <w:name w:val="Обычный1"/>
    <w:rPr>
      <w:sz w:val="24"/>
    </w:rPr>
  </w:style>
  <w:style w:type="paragraph" w:styleId="af1">
    <w:name w:val="Normal (Web)"/>
    <w:basedOn w:val="a"/>
    <w:link w:val="af2"/>
    <w:pPr>
      <w:spacing w:beforeAutospacing="1" w:afterAutospacing="1"/>
    </w:pPr>
  </w:style>
  <w:style w:type="character" w:customStyle="1" w:styleId="af2">
    <w:name w:val="Обычный (веб) Знак"/>
    <w:basedOn w:val="1"/>
    <w:link w:val="af1"/>
    <w:rPr>
      <w:sz w:val="24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sz w:val="28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customStyle="1" w:styleId="12">
    <w:name w:val="Обычный1"/>
    <w:link w:val="13"/>
    <w:rPr>
      <w:sz w:val="24"/>
    </w:rPr>
  </w:style>
  <w:style w:type="character" w:customStyle="1" w:styleId="13">
    <w:name w:val="Обычный1"/>
    <w:link w:val="12"/>
    <w:rPr>
      <w:sz w:val="24"/>
    </w:rPr>
  </w:style>
  <w:style w:type="paragraph" w:customStyle="1" w:styleId="25">
    <w:name w:val="Основной текст (2)"/>
    <w:basedOn w:val="a"/>
    <w:link w:val="26"/>
    <w:pPr>
      <w:widowControl w:val="0"/>
      <w:spacing w:line="317" w:lineRule="exact"/>
      <w:ind w:firstLine="760"/>
      <w:jc w:val="both"/>
    </w:pPr>
    <w:rPr>
      <w:sz w:val="28"/>
      <w:highlight w:val="white"/>
    </w:rPr>
  </w:style>
  <w:style w:type="character" w:customStyle="1" w:styleId="26">
    <w:name w:val="Основной текст (2)"/>
    <w:basedOn w:val="1"/>
    <w:link w:val="25"/>
    <w:rPr>
      <w:sz w:val="28"/>
      <w:highlight w:val="white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af3">
    <w:name w:val="foot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1"/>
    <w:link w:val="af3"/>
    <w:rPr>
      <w:sz w:val="24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onsPlusDocList">
    <w:name w:val="ConsPlusDocList"/>
    <w:link w:val="ConsPlusDocLis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DocList0">
    <w:name w:val="ConsPlusDocList"/>
    <w:link w:val="ConsPlusDocList"/>
    <w:rPr>
      <w:rFonts w:ascii="Courier New" w:hAnsi="Courier New"/>
      <w:sz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link w:val="2110"/>
    <w:pPr>
      <w:spacing w:after="160" w:line="240" w:lineRule="exact"/>
    </w:pPr>
    <w:rPr>
      <w:rFonts w:ascii="Verdana" w:hAnsi="Verdana"/>
      <w:sz w:val="20"/>
    </w:rPr>
  </w:style>
  <w:style w:type="character" w:customStyle="1" w:styleId="2110">
    <w:name w:val="Знак2 Знак Знак1 Знак1 Знак Знак Знак Знак Знак Знак Знак Знак Знак Знак Знак Знак"/>
    <w:basedOn w:val="1"/>
    <w:link w:val="211"/>
    <w:rPr>
      <w:rFonts w:ascii="Verdana" w:hAnsi="Verdana"/>
      <w:sz w:val="20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18">
    <w:name w:val="Просмотренная гиперссылка1"/>
    <w:basedOn w:val="14"/>
    <w:link w:val="19"/>
    <w:rPr>
      <w:color w:val="FF79C2" w:themeColor="followedHyperlink"/>
      <w:u w:val="single"/>
    </w:rPr>
  </w:style>
  <w:style w:type="character" w:customStyle="1" w:styleId="19">
    <w:name w:val="Просмотренная гиперссылка1"/>
    <w:basedOn w:val="15"/>
    <w:link w:val="18"/>
    <w:rPr>
      <w:color w:val="FF79C2" w:themeColor="followedHyperlink"/>
      <w:u w:val="single"/>
    </w:rPr>
  </w:style>
  <w:style w:type="paragraph" w:styleId="af5">
    <w:name w:val="List Paragraph"/>
    <w:basedOn w:val="a"/>
    <w:link w:val="af6"/>
    <w:pPr>
      <w:ind w:left="720"/>
      <w:contextualSpacing/>
    </w:pPr>
  </w:style>
  <w:style w:type="character" w:customStyle="1" w:styleId="af6">
    <w:name w:val="Абзац списка Знак"/>
    <w:basedOn w:val="1"/>
    <w:link w:val="af5"/>
    <w:rPr>
      <w:sz w:val="24"/>
    </w:rPr>
  </w:style>
  <w:style w:type="paragraph" w:customStyle="1" w:styleId="ConsPlusCell">
    <w:name w:val="ConsPlusCell"/>
    <w:link w:val="ConsPlusCell0"/>
    <w:pPr>
      <w:widowControl w:val="0"/>
      <w:spacing w:after="0" w:line="240" w:lineRule="auto"/>
    </w:pPr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paragraph" w:customStyle="1" w:styleId="ConsPlusTitle">
    <w:name w:val="ConsPlusTitle"/>
    <w:link w:val="ConsPlusTitle0"/>
    <w:pPr>
      <w:widowControl w:val="0"/>
      <w:spacing w:after="0" w:line="240" w:lineRule="auto"/>
    </w:pPr>
    <w:rPr>
      <w:rFonts w:ascii="Arial" w:hAnsi="Arial"/>
      <w:b/>
      <w:sz w:val="20"/>
    </w:rPr>
  </w:style>
  <w:style w:type="character" w:customStyle="1" w:styleId="ConsPlusTitle0">
    <w:name w:val="ConsPlusTitle"/>
    <w:link w:val="ConsPlusTitle"/>
    <w:rPr>
      <w:rFonts w:ascii="Arial" w:hAnsi="Arial"/>
      <w:b/>
      <w:sz w:val="20"/>
    </w:rPr>
  </w:style>
  <w:style w:type="paragraph" w:styleId="32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character" w:customStyle="1" w:styleId="33">
    <w:name w:val="Оглавление 3 Знак"/>
    <w:link w:val="32"/>
    <w:rPr>
      <w:rFonts w:ascii="XO Thames" w:hAnsi="XO Thames"/>
      <w:sz w:val="28"/>
    </w:rPr>
  </w:style>
  <w:style w:type="paragraph" w:customStyle="1" w:styleId="27">
    <w:name w:val="Основной шрифт абзаца2"/>
  </w:style>
  <w:style w:type="paragraph" w:styleId="af7">
    <w:name w:val="Body Text Indent"/>
    <w:basedOn w:val="a"/>
    <w:link w:val="af8"/>
    <w:pPr>
      <w:spacing w:after="120"/>
      <w:ind w:left="283"/>
    </w:pPr>
  </w:style>
  <w:style w:type="character" w:customStyle="1" w:styleId="af8">
    <w:name w:val="Основной текст с отступом Знак"/>
    <w:basedOn w:val="1"/>
    <w:link w:val="af7"/>
    <w:rPr>
      <w:sz w:val="24"/>
    </w:rPr>
  </w:style>
  <w:style w:type="paragraph" w:customStyle="1" w:styleId="1a">
    <w:name w:val="Гиперссылка1"/>
    <w:basedOn w:val="14"/>
    <w:link w:val="1b"/>
    <w:rPr>
      <w:color w:val="17BBFD" w:themeColor="hyperlink"/>
      <w:u w:val="single"/>
    </w:rPr>
  </w:style>
  <w:style w:type="character" w:customStyle="1" w:styleId="1b">
    <w:name w:val="Гиперссылка1"/>
    <w:basedOn w:val="15"/>
    <w:link w:val="1a"/>
    <w:rPr>
      <w:color w:val="17BBFD" w:themeColor="hyperlink"/>
      <w:u w:val="single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c">
    <w:name w:val="Без интервала1"/>
    <w:link w:val="1d"/>
    <w:pPr>
      <w:spacing w:after="0" w:line="240" w:lineRule="auto"/>
    </w:pPr>
    <w:rPr>
      <w:rFonts w:ascii="Calibri" w:hAnsi="Calibri"/>
      <w:sz w:val="24"/>
    </w:rPr>
  </w:style>
  <w:style w:type="character" w:customStyle="1" w:styleId="1d">
    <w:name w:val="Без интервала1"/>
    <w:link w:val="1c"/>
    <w:rPr>
      <w:rFonts w:ascii="Calibri" w:hAnsi="Calibri"/>
      <w:sz w:val="24"/>
    </w:rPr>
  </w:style>
  <w:style w:type="paragraph" w:customStyle="1" w:styleId="28">
    <w:name w:val="Гиперссылка2"/>
    <w:link w:val="af9"/>
    <w:rPr>
      <w:color w:val="0000FF"/>
      <w:u w:val="single"/>
    </w:rPr>
  </w:style>
  <w:style w:type="character" w:styleId="af9">
    <w:name w:val="Hyperlink"/>
    <w:link w:val="2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29">
    <w:name w:val="Body Text 2"/>
    <w:basedOn w:val="a"/>
    <w:link w:val="2a"/>
    <w:pPr>
      <w:spacing w:after="120" w:line="480" w:lineRule="auto"/>
    </w:pPr>
    <w:rPr>
      <w:sz w:val="28"/>
    </w:rPr>
  </w:style>
  <w:style w:type="character" w:customStyle="1" w:styleId="2a">
    <w:name w:val="Основной текст 2 Знак"/>
    <w:basedOn w:val="1"/>
    <w:link w:val="29"/>
    <w:rPr>
      <w:sz w:val="28"/>
    </w:rPr>
  </w:style>
  <w:style w:type="paragraph" w:customStyle="1" w:styleId="2b">
    <w:name w:val="Основной шрифт абзаца2"/>
    <w:link w:val="2c"/>
  </w:style>
  <w:style w:type="character" w:customStyle="1" w:styleId="2c">
    <w:name w:val="Основной шрифт абзаца2"/>
    <w:link w:val="2b"/>
  </w:style>
  <w:style w:type="paragraph" w:styleId="afa">
    <w:name w:val="header"/>
    <w:basedOn w:val="a"/>
    <w:link w:val="afb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1"/>
    <w:link w:val="afa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  <w:sz w:val="28"/>
    </w:rPr>
  </w:style>
  <w:style w:type="character" w:customStyle="1" w:styleId="1f">
    <w:name w:val="Оглавление 1 Знак"/>
    <w:link w:val="1e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consplusnormal">
    <w:name w:val="consplusnormal"/>
    <w:basedOn w:val="a"/>
    <w:link w:val="consplusnormal0"/>
    <w:pPr>
      <w:spacing w:beforeAutospacing="1" w:afterAutospacing="1"/>
    </w:pPr>
  </w:style>
  <w:style w:type="character" w:customStyle="1" w:styleId="consplusnormal0">
    <w:name w:val="consplusnormal"/>
    <w:basedOn w:val="1"/>
    <w:link w:val="consplusnormal"/>
    <w:rPr>
      <w:sz w:val="24"/>
    </w:rPr>
  </w:style>
  <w:style w:type="paragraph" w:customStyle="1" w:styleId="ConsPlusNormal1">
    <w:name w:val="ConsPlusNormal"/>
    <w:link w:val="ConsPlusNormal2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type="character" w:customStyle="1" w:styleId="ConsPlusNormal2">
    <w:name w:val="ConsPlusNormal"/>
    <w:link w:val="ConsPlusNormal1"/>
    <w:rPr>
      <w:rFonts w:ascii="Arial" w:hAnsi="Arial"/>
      <w:sz w:val="20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customStyle="1" w:styleId="1f0">
    <w:name w:val="Номер страницы1"/>
    <w:basedOn w:val="14"/>
    <w:link w:val="1f1"/>
  </w:style>
  <w:style w:type="character" w:customStyle="1" w:styleId="1f1">
    <w:name w:val="Номер страницы1"/>
    <w:basedOn w:val="15"/>
    <w:link w:val="1f0"/>
  </w:style>
  <w:style w:type="paragraph" w:styleId="34">
    <w:name w:val="Body Text Indent 3"/>
    <w:basedOn w:val="a"/>
    <w:link w:val="35"/>
    <w:pPr>
      <w:spacing w:after="120"/>
      <w:ind w:left="283"/>
    </w:pPr>
    <w:rPr>
      <w:sz w:val="16"/>
    </w:rPr>
  </w:style>
  <w:style w:type="character" w:customStyle="1" w:styleId="35">
    <w:name w:val="Основной текст с отступом 3 Знак"/>
    <w:basedOn w:val="1"/>
    <w:link w:val="34"/>
    <w:rPr>
      <w:sz w:val="16"/>
    </w:rPr>
  </w:style>
  <w:style w:type="paragraph" w:styleId="52">
    <w:name w:val="toc 5"/>
    <w:next w:val="a"/>
    <w:link w:val="53"/>
    <w:uiPriority w:val="39"/>
    <w:pPr>
      <w:ind w:left="800"/>
    </w:pPr>
    <w:rPr>
      <w:rFonts w:ascii="XO Thames" w:hAnsi="XO Thames"/>
      <w:sz w:val="28"/>
    </w:rPr>
  </w:style>
  <w:style w:type="character" w:customStyle="1" w:styleId="53">
    <w:name w:val="Оглавление 5 Знак"/>
    <w:link w:val="52"/>
    <w:rPr>
      <w:rFonts w:ascii="XO Thames" w:hAnsi="XO Thames"/>
      <w:sz w:val="28"/>
    </w:rPr>
  </w:style>
  <w:style w:type="paragraph" w:customStyle="1" w:styleId="1f2">
    <w:name w:val="Выделение1"/>
    <w:basedOn w:val="14"/>
    <w:link w:val="1f3"/>
    <w:rPr>
      <w:i/>
    </w:rPr>
  </w:style>
  <w:style w:type="character" w:customStyle="1" w:styleId="1f3">
    <w:name w:val="Выделение1"/>
    <w:basedOn w:val="15"/>
    <w:link w:val="1f2"/>
    <w:rPr>
      <w:i/>
    </w:rPr>
  </w:style>
  <w:style w:type="paragraph" w:customStyle="1" w:styleId="1f4">
    <w:name w:val="Строгий1"/>
    <w:basedOn w:val="14"/>
    <w:link w:val="1f5"/>
    <w:rPr>
      <w:b/>
    </w:rPr>
  </w:style>
  <w:style w:type="character" w:customStyle="1" w:styleId="1f5">
    <w:name w:val="Строгий1"/>
    <w:basedOn w:val="15"/>
    <w:link w:val="1f4"/>
    <w:rPr>
      <w:b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Title"/>
    <w:next w:val="a"/>
    <w:link w:val="af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">
    <w:name w:val="Заголовок Знак"/>
    <w:link w:val="af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f0">
    <w:name w:val="Balloon Text"/>
    <w:basedOn w:val="a"/>
    <w:link w:val="aff1"/>
    <w:rPr>
      <w:rFonts w:ascii="Tahoma" w:hAnsi="Tahoma"/>
      <w:sz w:val="16"/>
    </w:rPr>
  </w:style>
  <w:style w:type="character" w:customStyle="1" w:styleId="aff1">
    <w:name w:val="Текст выноски Знак"/>
    <w:basedOn w:val="1"/>
    <w:link w:val="aff0"/>
    <w:rPr>
      <w:rFonts w:ascii="Tahoma" w:hAnsi="Tahoma"/>
      <w:sz w:val="16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2d">
    <w:name w:val="Гиперссылка2"/>
    <w:link w:val="2e"/>
    <w:rPr>
      <w:color w:val="0000FF"/>
      <w:u w:val="single"/>
    </w:rPr>
  </w:style>
  <w:style w:type="character" w:customStyle="1" w:styleId="2e">
    <w:name w:val="Гиперссылка2"/>
    <w:link w:val="2d"/>
    <w:rPr>
      <w:color w:val="0000FF"/>
      <w:u w:val="single"/>
    </w:rPr>
  </w:style>
  <w:style w:type="paragraph" w:styleId="aff2">
    <w:name w:val="Body Text"/>
    <w:basedOn w:val="a"/>
    <w:link w:val="aff3"/>
    <w:pPr>
      <w:jc w:val="both"/>
    </w:pPr>
    <w:rPr>
      <w:sz w:val="28"/>
    </w:rPr>
  </w:style>
  <w:style w:type="character" w:customStyle="1" w:styleId="aff3">
    <w:name w:val="Основной текст Знак"/>
    <w:basedOn w:val="1"/>
    <w:link w:val="aff2"/>
    <w:rPr>
      <w:sz w:val="28"/>
    </w:rPr>
  </w:style>
  <w:style w:type="paragraph" w:customStyle="1" w:styleId="TableParagraph">
    <w:name w:val="Table Paragraph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57" w:after="0" w:line="240" w:lineRule="auto"/>
      <w:ind w:left="113"/>
    </w:pPr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404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Verve">
      <a:dk1>
        <a:srgbClr val="000000"/>
      </a:dk1>
      <a:lt1>
        <a:srgbClr val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>
    <a:extraClrScheme>
      <a:clrScheme name="Стандартная">
        <a:dk1>
          <a:srgbClr val="000000"/>
        </a:dk1>
        <a:lt1>
          <a:srgbClr val="FFFFFF"/>
        </a:lt1>
        <a:dk2>
          <a:srgbClr val="1F497D"/>
        </a:dk2>
        <a:lt2>
          <a:srgbClr val="EEECE1"/>
        </a:lt2>
        <a:accent1>
          <a:srgbClr val="4F81BD"/>
        </a:accent1>
        <a:accent2>
          <a:srgbClr val="C0504D"/>
        </a:accent2>
        <a:accent3>
          <a:srgbClr val="9BBB59"/>
        </a:accent3>
        <a:accent4>
          <a:srgbClr val="8064A2"/>
        </a:accent4>
        <a:accent5>
          <a:srgbClr val="4BACC6"/>
        </a:accent5>
        <a:accent6>
          <a:srgbClr val="F79646"/>
        </a:accent6>
        <a:hlink>
          <a:srgbClr val="0000FF"/>
        </a:hlink>
        <a:folHlink>
          <a:srgbClr val="800080"/>
        </a:folHlink>
      </a:clrScheme>
    </a:extraClrScheme>
  </a:extraClrScheme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27</Pages>
  <Words>4709</Words>
  <Characters>26847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Яна А. Сысоева</dc:creator>
  <cp:lastModifiedBy>Пользователь</cp:lastModifiedBy>
  <cp:revision>19</cp:revision>
  <cp:lastPrinted>2026-10-08T11:31:00Z</cp:lastPrinted>
  <dcterms:created xsi:type="dcterms:W3CDTF">2026-09-28T14:58:00Z</dcterms:created>
  <dcterms:modified xsi:type="dcterms:W3CDTF">2026-10-08T11:35:00Z</dcterms:modified>
</cp:coreProperties>
</file>