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657" w:rsidRDefault="001A5657" w:rsidP="009D3B5B">
      <w:pPr>
        <w:jc w:val="center"/>
        <w:rPr>
          <w:sz w:val="32"/>
          <w:szCs w:val="32"/>
        </w:rPr>
      </w:pPr>
    </w:p>
    <w:p w:rsidR="001A5657" w:rsidRDefault="001A5657" w:rsidP="009D3B5B">
      <w:pPr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1A5657" w:rsidRDefault="001A5657" w:rsidP="009D3B5B">
      <w:pPr>
        <w:jc w:val="center"/>
        <w:rPr>
          <w:color w:val="CC0000"/>
          <w:sz w:val="28"/>
          <w:szCs w:val="28"/>
        </w:rPr>
      </w:pPr>
    </w:p>
    <w:p w:rsidR="001A5657" w:rsidRDefault="001A5657" w:rsidP="009D3B5B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Д у м а   г о р о д а  Н ев и н н о м ы с с к а</w:t>
      </w:r>
    </w:p>
    <w:p w:rsidR="001A5657" w:rsidRDefault="001A5657" w:rsidP="009D3B5B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1A5657" w:rsidRDefault="001A5657" w:rsidP="009D3B5B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1A5657" w:rsidRDefault="001A5657" w:rsidP="009D3B5B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1A5657" w:rsidRDefault="001A5657" w:rsidP="009D3B5B">
      <w:pPr>
        <w:jc w:val="center"/>
      </w:pPr>
    </w:p>
    <w:p w:rsidR="001A5657" w:rsidRDefault="001A5657" w:rsidP="009D3B5B">
      <w:pPr>
        <w:jc w:val="center"/>
      </w:pPr>
    </w:p>
    <w:p w:rsidR="001A5657" w:rsidRDefault="001A5657" w:rsidP="009D3B5B">
      <w:pPr>
        <w:tabs>
          <w:tab w:val="left" w:pos="8460"/>
        </w:tabs>
        <w:ind w:left="180"/>
        <w:jc w:val="both"/>
        <w:rPr>
          <w:b/>
          <w:bCs/>
        </w:rPr>
      </w:pPr>
    </w:p>
    <w:p w:rsidR="001A5657" w:rsidRDefault="001A5657" w:rsidP="009D3B5B">
      <w:pPr>
        <w:tabs>
          <w:tab w:val="left" w:pos="8460"/>
        </w:tabs>
        <w:ind w:left="180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29 октября 2025 г.                                                                           № 9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30"/>
          <w:szCs w:val="30"/>
        </w:rPr>
        <w:t>-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30"/>
          <w:szCs w:val="30"/>
        </w:rPr>
        <w:t>2</w:t>
      </w:r>
    </w:p>
    <w:p w:rsidR="001A5657" w:rsidRPr="00F14294" w:rsidRDefault="001A5657" w:rsidP="009D3B5B">
      <w:pPr>
        <w:jc w:val="center"/>
        <w:rPr>
          <w:sz w:val="24"/>
          <w:szCs w:val="24"/>
        </w:rPr>
      </w:pPr>
      <w:r w:rsidRPr="00F14294">
        <w:rPr>
          <w:sz w:val="24"/>
          <w:szCs w:val="24"/>
        </w:rPr>
        <w:t>Невинномысск</w:t>
      </w:r>
    </w:p>
    <w:p w:rsidR="001A5657" w:rsidRPr="00F14294" w:rsidRDefault="001A5657">
      <w:pPr>
        <w:ind w:firstLine="709"/>
        <w:jc w:val="both"/>
        <w:rPr>
          <w:sz w:val="24"/>
          <w:szCs w:val="24"/>
        </w:rPr>
      </w:pPr>
    </w:p>
    <w:p w:rsidR="001A5657" w:rsidRPr="00F14294" w:rsidRDefault="001A5657">
      <w:pPr>
        <w:ind w:firstLine="709"/>
        <w:jc w:val="both"/>
        <w:rPr>
          <w:sz w:val="24"/>
          <w:szCs w:val="24"/>
        </w:rPr>
      </w:pPr>
    </w:p>
    <w:p w:rsidR="001A5657" w:rsidRPr="009D3B5B" w:rsidRDefault="001A5657" w:rsidP="009D3B5B">
      <w:pPr>
        <w:jc w:val="both"/>
        <w:rPr>
          <w:sz w:val="27"/>
          <w:szCs w:val="27"/>
        </w:rPr>
      </w:pPr>
      <w:r w:rsidRPr="009D3B5B">
        <w:rPr>
          <w:sz w:val="27"/>
          <w:szCs w:val="27"/>
        </w:rPr>
        <w:t xml:space="preserve">О внесении изменений в пункт 1 решения Думы города Невинномысска </w:t>
      </w:r>
      <w:r>
        <w:rPr>
          <w:sz w:val="27"/>
          <w:szCs w:val="27"/>
        </w:rPr>
        <w:t xml:space="preserve">                </w:t>
      </w:r>
      <w:r w:rsidRPr="009D3B5B">
        <w:rPr>
          <w:sz w:val="27"/>
          <w:szCs w:val="27"/>
        </w:rPr>
        <w:t xml:space="preserve">от 29.11.2023 № 282-37 «О дополнительных мерах социальной помощи отдельным категориям граждан на территории города   Невинномысска» </w:t>
      </w:r>
    </w:p>
    <w:p w:rsidR="001A5657" w:rsidRPr="00F14294" w:rsidRDefault="001A5657" w:rsidP="009D3B5B">
      <w:pPr>
        <w:ind w:firstLine="709"/>
        <w:jc w:val="both"/>
        <w:rPr>
          <w:sz w:val="24"/>
          <w:szCs w:val="24"/>
        </w:rPr>
      </w:pPr>
    </w:p>
    <w:p w:rsidR="001A5657" w:rsidRPr="00F14294" w:rsidRDefault="001A5657" w:rsidP="009D3B5B">
      <w:pPr>
        <w:ind w:firstLine="709"/>
        <w:jc w:val="both"/>
        <w:rPr>
          <w:sz w:val="24"/>
          <w:szCs w:val="24"/>
        </w:rPr>
      </w:pP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 xml:space="preserve">    </w:t>
      </w:r>
      <w:r w:rsidRPr="009D3B5B">
        <w:rPr>
          <w:sz w:val="27"/>
          <w:szCs w:val="27"/>
        </w:rPr>
        <w:t>Законом Ставропольского края от 28.02.2023 № 18-кз «О дополнительных социальных гарантиях участникам специальной военной операции и мерах социальной поддержки членов их семей», Законом Ставропольского края</w:t>
      </w:r>
      <w:r>
        <w:rPr>
          <w:sz w:val="27"/>
          <w:szCs w:val="27"/>
        </w:rPr>
        <w:t xml:space="preserve"> </w:t>
      </w:r>
      <w:r w:rsidRPr="009D3B5B">
        <w:rPr>
          <w:sz w:val="27"/>
          <w:szCs w:val="27"/>
        </w:rPr>
        <w:t xml:space="preserve">от 04.03.2024 </w:t>
      </w:r>
      <w:r>
        <w:rPr>
          <w:sz w:val="27"/>
          <w:szCs w:val="27"/>
        </w:rPr>
        <w:t xml:space="preserve">          </w:t>
      </w:r>
      <w:r w:rsidRPr="009D3B5B">
        <w:rPr>
          <w:sz w:val="27"/>
          <w:szCs w:val="27"/>
        </w:rPr>
        <w:t>№ 12-кз «О единовременной денежной выплате гражданам, заключившим контракт о прохождении военной службы в 2024-2025 годах», Уставом муниципального</w:t>
      </w:r>
      <w:r>
        <w:rPr>
          <w:sz w:val="27"/>
          <w:szCs w:val="27"/>
        </w:rPr>
        <w:t xml:space="preserve"> </w:t>
      </w:r>
      <w:r w:rsidRPr="009D3B5B">
        <w:rPr>
          <w:sz w:val="27"/>
          <w:szCs w:val="27"/>
        </w:rPr>
        <w:t>образования городского округа города Неви</w:t>
      </w:r>
      <w:r>
        <w:rPr>
          <w:sz w:val="27"/>
          <w:szCs w:val="27"/>
        </w:rPr>
        <w:t xml:space="preserve">нномысска Ставропольского края </w:t>
      </w:r>
      <w:r w:rsidRPr="009D3B5B">
        <w:rPr>
          <w:sz w:val="27"/>
          <w:szCs w:val="27"/>
        </w:rPr>
        <w:t>Дума города Невинномысска</w:t>
      </w:r>
    </w:p>
    <w:p w:rsidR="001A5657" w:rsidRPr="009D3B5B" w:rsidRDefault="001A5657" w:rsidP="009D3B5B">
      <w:pPr>
        <w:jc w:val="both"/>
        <w:rPr>
          <w:b/>
          <w:bCs/>
          <w:sz w:val="27"/>
          <w:szCs w:val="27"/>
        </w:rPr>
      </w:pPr>
      <w:r w:rsidRPr="009D3B5B">
        <w:rPr>
          <w:b/>
          <w:bCs/>
          <w:sz w:val="27"/>
          <w:szCs w:val="27"/>
        </w:rPr>
        <w:t>РЕШИЛА: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 xml:space="preserve">1. Внести в пункт 1 решения Думы города Невинномысска от 29.11.2023 </w:t>
      </w:r>
      <w:r>
        <w:rPr>
          <w:sz w:val="27"/>
          <w:szCs w:val="27"/>
        </w:rPr>
        <w:t xml:space="preserve">   </w:t>
      </w:r>
      <w:r w:rsidRPr="009D3B5B">
        <w:rPr>
          <w:sz w:val="27"/>
          <w:szCs w:val="27"/>
        </w:rPr>
        <w:t>№ 282-37 «О дополнительных мерах социальной помощи отдельным категориям граждан на территории города Невинномысска» следующие изменения: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>1.1. В пункте 1.1: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>1) абзац 2 изложить в следующей редакции: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 xml:space="preserve">«военнослужащего - гражданина Российской Федерации, постоянно проживавшего на территории города Невинномысска, проходившего военную службу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принимавшего участие в специальной военной операции, проводимой на территории Украины, Донецкой Народной Республики, </w:t>
      </w:r>
      <w:r>
        <w:rPr>
          <w:sz w:val="27"/>
          <w:szCs w:val="27"/>
        </w:rPr>
        <w:t xml:space="preserve">      </w:t>
      </w:r>
      <w:r w:rsidRPr="009D3B5B">
        <w:rPr>
          <w:sz w:val="27"/>
          <w:szCs w:val="27"/>
        </w:rPr>
        <w:t xml:space="preserve">Луганской Народной Республики с 24 февраля 2022 года, а также на территориях Запорожской области и Херсонской области с 30 сентября 2022 года, выполнявшего задачи по отражению вооруженного вторжения на территорию Российской </w:t>
      </w:r>
      <w:r>
        <w:rPr>
          <w:sz w:val="27"/>
          <w:szCs w:val="27"/>
        </w:rPr>
        <w:t xml:space="preserve">    </w:t>
      </w:r>
      <w:r w:rsidRPr="009D3B5B">
        <w:rPr>
          <w:sz w:val="27"/>
          <w:szCs w:val="27"/>
        </w:rPr>
        <w:t>Федерации в ходе вооруженной провокации на территориях Курской области и Белгородской области (далее - специальная военная операция), и погибшего в ходе специальной военной операции (умершего вследствие увечья (ранения, травмы, контузии), полученного при выполнении задач в ходе специальной военной операции);»;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 xml:space="preserve">2) абзац 5 изложить в следующей редакции: 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>«добровольца - гражданина Российской Федерации, постоянно проживавшего на территории города Невинномысска, поступившего в созданные на территории Российской Федерации добровольческие формирования, содействующие выполнению задач, возложенных на Вооруженные Силы Российской Федерации в ходе специальной военной операции, и погибшего при выполнении задач на территориях Украины, Донецкой Народной Республики, Луганской Народной Республики с 24 февраля 2022 года, на территориях Запорожской области и Херсонской области с 30 сентября 2022 года, при выполнении задачи по отражению вооруженного вторжения на территорию Российской Федерации в ходе вооруженной провокации на территориях Курской области и Белгородской области (умершего вследствие увечья (ранения, травмы, контузии), полученного при выполнении указанных задач).».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 xml:space="preserve">1.2. Дополнить подпунктом 1.4 следующего содержания: 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>«1.4. Дополнительную меру социальной помощи в виде единовременной денежной выплаты  в размере  400 000,00  рублей однократно гражданам, заключившим  контракт с Министерством обороны Российской Федерации с 1 октября 2025 года по 31 декабря 2025 года, на срок службы не менее года для выполнения задач в зоне специальной военной операции, через военный комиссариат города Невинномысска и  Кочубеевского муниципального округа Ставропольского края.».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>2. Настоящее решение вступает в силу со дня его официального обнародования и распространяется на правоотношения, возникшие с 1 октября 2025 года.</w:t>
      </w:r>
    </w:p>
    <w:p w:rsidR="001A5657" w:rsidRPr="009D3B5B" w:rsidRDefault="001A5657" w:rsidP="009D3B5B">
      <w:pPr>
        <w:ind w:firstLine="709"/>
        <w:jc w:val="both"/>
        <w:rPr>
          <w:sz w:val="27"/>
          <w:szCs w:val="27"/>
        </w:rPr>
      </w:pPr>
      <w:r w:rsidRPr="009D3B5B">
        <w:rPr>
          <w:sz w:val="27"/>
          <w:szCs w:val="27"/>
        </w:rPr>
        <w:t>3. Контроль за исполнением настоящего решения возложить на комитет Думы города Невинномысска по социальной политике, демографии, делам ветеранов (Кужба).</w:t>
      </w:r>
    </w:p>
    <w:p w:rsidR="001A5657" w:rsidRDefault="001A5657">
      <w:pPr>
        <w:pStyle w:val="NormalWeb"/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1A5657" w:rsidRDefault="001A5657">
      <w:pPr>
        <w:pStyle w:val="NormalWeb"/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1A5657" w:rsidRDefault="001A5657">
      <w:pPr>
        <w:pStyle w:val="NormalWeb"/>
        <w:tabs>
          <w:tab w:val="left" w:pos="709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78"/>
        <w:gridCol w:w="1250"/>
        <w:gridCol w:w="4242"/>
      </w:tblGrid>
      <w:tr w:rsidR="001A5657">
        <w:trPr>
          <w:trHeight w:val="1002"/>
          <w:jc w:val="center"/>
        </w:trPr>
        <w:tc>
          <w:tcPr>
            <w:tcW w:w="4078" w:type="dxa"/>
          </w:tcPr>
          <w:p w:rsidR="001A5657" w:rsidRDefault="001A565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1A5657" w:rsidRDefault="001A565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1250" w:type="dxa"/>
          </w:tcPr>
          <w:p w:rsidR="001A5657" w:rsidRDefault="001A565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1A5657" w:rsidRDefault="001A565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Глава</w:t>
            </w:r>
          </w:p>
          <w:p w:rsidR="001A5657" w:rsidRDefault="001A565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</w:tr>
      <w:tr w:rsidR="001A5657">
        <w:trPr>
          <w:trHeight w:val="438"/>
          <w:jc w:val="center"/>
        </w:trPr>
        <w:tc>
          <w:tcPr>
            <w:tcW w:w="4078" w:type="dxa"/>
          </w:tcPr>
          <w:p w:rsidR="001A5657" w:rsidRDefault="001A5657">
            <w:pPr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Т.А. Олешкевич</w:t>
            </w:r>
          </w:p>
        </w:tc>
        <w:tc>
          <w:tcPr>
            <w:tcW w:w="1250" w:type="dxa"/>
          </w:tcPr>
          <w:p w:rsidR="001A5657" w:rsidRDefault="001A565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1A5657" w:rsidRDefault="001A5657">
            <w:pPr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1A5657" w:rsidRDefault="001A5657">
      <w:pPr>
        <w:pStyle w:val="NormalWeb"/>
        <w:tabs>
          <w:tab w:val="left" w:pos="709"/>
        </w:tabs>
        <w:ind w:firstLine="709"/>
        <w:jc w:val="both"/>
        <w:rPr>
          <w:sz w:val="28"/>
          <w:szCs w:val="28"/>
        </w:rPr>
      </w:pPr>
    </w:p>
    <w:sectPr w:rsidR="001A5657" w:rsidSect="00F14294">
      <w:headerReference w:type="default" r:id="rId8"/>
      <w:pgSz w:w="11906" w:h="16838"/>
      <w:pgMar w:top="1134" w:right="567" w:bottom="567" w:left="1701" w:header="425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657" w:rsidRDefault="001A5657">
      <w:r>
        <w:separator/>
      </w:r>
    </w:p>
  </w:endnote>
  <w:endnote w:type="continuationSeparator" w:id="0">
    <w:p w:rsidR="001A5657" w:rsidRDefault="001A5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657" w:rsidRDefault="001A5657">
      <w:r>
        <w:separator/>
      </w:r>
    </w:p>
  </w:footnote>
  <w:footnote w:type="continuationSeparator" w:id="0">
    <w:p w:rsidR="001A5657" w:rsidRDefault="001A5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657" w:rsidRDefault="001A5657">
    <w:pPr>
      <w:pStyle w:val="Header"/>
      <w:jc w:val="center"/>
    </w:pPr>
  </w:p>
  <w:p w:rsidR="001A5657" w:rsidRDefault="001A56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2228A"/>
    <w:multiLevelType w:val="hybridMultilevel"/>
    <w:tmpl w:val="9D346BA0"/>
    <w:lvl w:ilvl="0" w:tplc="471ECA2E">
      <w:start w:val="1"/>
      <w:numFmt w:val="decimal"/>
      <w:lvlText w:val="%1)"/>
      <w:lvlJc w:val="left"/>
      <w:pPr>
        <w:ind w:left="1417" w:hanging="360"/>
      </w:pPr>
    </w:lvl>
    <w:lvl w:ilvl="1" w:tplc="FD321232">
      <w:start w:val="1"/>
      <w:numFmt w:val="lowerLetter"/>
      <w:lvlText w:val="%2."/>
      <w:lvlJc w:val="left"/>
      <w:pPr>
        <w:ind w:left="2137" w:hanging="360"/>
      </w:pPr>
    </w:lvl>
    <w:lvl w:ilvl="2" w:tplc="87401B68">
      <w:start w:val="1"/>
      <w:numFmt w:val="lowerRoman"/>
      <w:lvlText w:val="%3."/>
      <w:lvlJc w:val="right"/>
      <w:pPr>
        <w:ind w:left="2857" w:hanging="180"/>
      </w:pPr>
    </w:lvl>
    <w:lvl w:ilvl="3" w:tplc="DC8EE008">
      <w:start w:val="1"/>
      <w:numFmt w:val="decimal"/>
      <w:lvlText w:val="%4."/>
      <w:lvlJc w:val="left"/>
      <w:pPr>
        <w:ind w:left="3577" w:hanging="360"/>
      </w:pPr>
    </w:lvl>
    <w:lvl w:ilvl="4" w:tplc="147EA1E4">
      <w:start w:val="1"/>
      <w:numFmt w:val="lowerLetter"/>
      <w:lvlText w:val="%5."/>
      <w:lvlJc w:val="left"/>
      <w:pPr>
        <w:ind w:left="4297" w:hanging="360"/>
      </w:pPr>
    </w:lvl>
    <w:lvl w:ilvl="5" w:tplc="2872FEF8">
      <w:start w:val="1"/>
      <w:numFmt w:val="lowerRoman"/>
      <w:lvlText w:val="%6."/>
      <w:lvlJc w:val="right"/>
      <w:pPr>
        <w:ind w:left="5017" w:hanging="180"/>
      </w:pPr>
    </w:lvl>
    <w:lvl w:ilvl="6" w:tplc="29EA4BDA">
      <w:start w:val="1"/>
      <w:numFmt w:val="decimal"/>
      <w:lvlText w:val="%7."/>
      <w:lvlJc w:val="left"/>
      <w:pPr>
        <w:ind w:left="5737" w:hanging="360"/>
      </w:pPr>
    </w:lvl>
    <w:lvl w:ilvl="7" w:tplc="6C740876">
      <w:start w:val="1"/>
      <w:numFmt w:val="lowerLetter"/>
      <w:lvlText w:val="%8."/>
      <w:lvlJc w:val="left"/>
      <w:pPr>
        <w:ind w:left="6457" w:hanging="360"/>
      </w:pPr>
    </w:lvl>
    <w:lvl w:ilvl="8" w:tplc="F7FC1BA2">
      <w:start w:val="1"/>
      <w:numFmt w:val="lowerRoman"/>
      <w:lvlText w:val="%9."/>
      <w:lvlJc w:val="right"/>
      <w:pPr>
        <w:ind w:left="7177" w:hanging="180"/>
      </w:pPr>
    </w:lvl>
  </w:abstractNum>
  <w:abstractNum w:abstractNumId="1">
    <w:nsid w:val="526B0B59"/>
    <w:multiLevelType w:val="hybridMultilevel"/>
    <w:tmpl w:val="F62E0F0C"/>
    <w:lvl w:ilvl="0" w:tplc="A7B67B0C">
      <w:start w:val="1"/>
      <w:numFmt w:val="decimal"/>
      <w:lvlText w:val="%1)"/>
      <w:lvlJc w:val="left"/>
      <w:pPr>
        <w:ind w:left="1417" w:hanging="360"/>
      </w:pPr>
    </w:lvl>
    <w:lvl w:ilvl="1" w:tplc="07C8D5DA">
      <w:start w:val="1"/>
      <w:numFmt w:val="lowerLetter"/>
      <w:lvlText w:val="%2."/>
      <w:lvlJc w:val="left"/>
      <w:pPr>
        <w:ind w:left="2137" w:hanging="360"/>
      </w:pPr>
    </w:lvl>
    <w:lvl w:ilvl="2" w:tplc="9F02A3A6">
      <w:start w:val="1"/>
      <w:numFmt w:val="lowerRoman"/>
      <w:lvlText w:val="%3."/>
      <w:lvlJc w:val="right"/>
      <w:pPr>
        <w:ind w:left="2857" w:hanging="180"/>
      </w:pPr>
    </w:lvl>
    <w:lvl w:ilvl="3" w:tplc="C96251F8">
      <w:start w:val="1"/>
      <w:numFmt w:val="decimal"/>
      <w:lvlText w:val="%4."/>
      <w:lvlJc w:val="left"/>
      <w:pPr>
        <w:ind w:left="3577" w:hanging="360"/>
      </w:pPr>
    </w:lvl>
    <w:lvl w:ilvl="4" w:tplc="21365F2E">
      <w:start w:val="1"/>
      <w:numFmt w:val="lowerLetter"/>
      <w:lvlText w:val="%5."/>
      <w:lvlJc w:val="left"/>
      <w:pPr>
        <w:ind w:left="4297" w:hanging="360"/>
      </w:pPr>
    </w:lvl>
    <w:lvl w:ilvl="5" w:tplc="F7DC6BDA">
      <w:start w:val="1"/>
      <w:numFmt w:val="lowerRoman"/>
      <w:lvlText w:val="%6."/>
      <w:lvlJc w:val="right"/>
      <w:pPr>
        <w:ind w:left="5017" w:hanging="180"/>
      </w:pPr>
    </w:lvl>
    <w:lvl w:ilvl="6" w:tplc="0AEC68FE">
      <w:start w:val="1"/>
      <w:numFmt w:val="decimal"/>
      <w:lvlText w:val="%7."/>
      <w:lvlJc w:val="left"/>
      <w:pPr>
        <w:ind w:left="5737" w:hanging="360"/>
      </w:pPr>
    </w:lvl>
    <w:lvl w:ilvl="7" w:tplc="351A7382">
      <w:start w:val="1"/>
      <w:numFmt w:val="lowerLetter"/>
      <w:lvlText w:val="%8."/>
      <w:lvlJc w:val="left"/>
      <w:pPr>
        <w:ind w:left="6457" w:hanging="360"/>
      </w:pPr>
    </w:lvl>
    <w:lvl w:ilvl="8" w:tplc="B892694C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0A5C"/>
    <w:rsid w:val="000C4CE1"/>
    <w:rsid w:val="001A5657"/>
    <w:rsid w:val="00245769"/>
    <w:rsid w:val="002664F1"/>
    <w:rsid w:val="002C1571"/>
    <w:rsid w:val="002E5D86"/>
    <w:rsid w:val="003B0A5C"/>
    <w:rsid w:val="004436DA"/>
    <w:rsid w:val="00577251"/>
    <w:rsid w:val="0061653F"/>
    <w:rsid w:val="00643AE2"/>
    <w:rsid w:val="007221FF"/>
    <w:rsid w:val="007B5632"/>
    <w:rsid w:val="008A04D1"/>
    <w:rsid w:val="009D3B5B"/>
    <w:rsid w:val="00A82521"/>
    <w:rsid w:val="00B26F43"/>
    <w:rsid w:val="00C94839"/>
    <w:rsid w:val="00D20D38"/>
    <w:rsid w:val="00D3011D"/>
    <w:rsid w:val="00F1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Pr>
      <w:rFonts w:ascii="Times New Roman" w:eastAsia="Times New Roman" w:hAnsi="Times New Roman"/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360" w:after="200"/>
      <w:outlineLvl w:val="1"/>
    </w:pPr>
    <w:rPr>
      <w:rFonts w:ascii="Arial" w:eastAsia="Calibri" w:hAnsi="Arial" w:cs="Arial"/>
      <w:sz w:val="34"/>
      <w:szCs w:val="34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tabs>
        <w:tab w:val="num" w:pos="0"/>
      </w:tabs>
      <w:ind w:left="720" w:hanging="720"/>
      <w:jc w:val="both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spacing w:before="320" w:after="200"/>
      <w:outlineLvl w:val="4"/>
    </w:pPr>
    <w:rPr>
      <w:rFonts w:ascii="Arial" w:eastAsia="Calibri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Arial" w:hAnsi="Arial" w:cs="Arial"/>
      <w:sz w:val="34"/>
      <w:szCs w:val="34"/>
    </w:rPr>
  </w:style>
  <w:style w:type="character" w:customStyle="1" w:styleId="Heading3Char">
    <w:name w:val="Heading 3 Char"/>
    <w:basedOn w:val="DefaultParagraphFont"/>
    <w:uiPriority w:val="99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Pr>
      <w:rFonts w:ascii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NoSpacing">
    <w:name w:val="No Spacing"/>
    <w:uiPriority w:val="99"/>
    <w:qFormat/>
    <w:rPr>
      <w:rFonts w:cs="Calibri"/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pPr>
      <w:spacing w:before="300" w:after="200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Pr>
      <w:sz w:val="48"/>
      <w:szCs w:val="48"/>
    </w:rPr>
  </w:style>
  <w:style w:type="character" w:customStyle="1" w:styleId="SubtitleChar">
    <w:name w:val="Subtitle Char"/>
    <w:uiPriority w:val="99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pPr>
      <w:ind w:left="720" w:right="72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Pr>
      <w:i/>
      <w:iCs/>
    </w:rPr>
  </w:style>
  <w:style w:type="character" w:customStyle="1" w:styleId="HeaderChar">
    <w:name w:val="Header Char"/>
    <w:basedOn w:val="DefaultParagraphFont"/>
    <w:uiPriority w:val="99"/>
  </w:style>
  <w:style w:type="paragraph" w:styleId="Footer">
    <w:name w:val="footer"/>
    <w:basedOn w:val="Normal"/>
    <w:link w:val="FooterChar1"/>
    <w:uiPriority w:val="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</w:style>
  <w:style w:type="table" w:customStyle="1" w:styleId="TableGridLight">
    <w:name w:val="Table Grid Light"/>
    <w:uiPriority w:val="99"/>
    <w:rPr>
      <w:rFonts w:cs="Calibri"/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Pr>
      <w:rFonts w:cs="Calibri"/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Pr>
      <w:rFonts w:cs="Calibri"/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Pr>
      <w:rFonts w:cs="Calibri"/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rFonts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40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lock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Pr>
      <w:vertAlign w:val="superscript"/>
    </w:rPr>
  </w:style>
  <w:style w:type="paragraph" w:styleId="TOC1">
    <w:name w:val="toc 1"/>
    <w:basedOn w:val="Normal"/>
    <w:next w:val="Normal"/>
    <w:autoRedefine/>
    <w:uiPriority w:val="99"/>
    <w:semiHidden/>
    <w:pPr>
      <w:spacing w:after="57"/>
    </w:pPr>
  </w:style>
  <w:style w:type="paragraph" w:styleId="TOC2">
    <w:name w:val="toc 2"/>
    <w:basedOn w:val="Normal"/>
    <w:next w:val="Normal"/>
    <w:autoRedefine/>
    <w:uiPriority w:val="99"/>
    <w:semiHidden/>
    <w:pPr>
      <w:spacing w:after="57"/>
      <w:ind w:left="283"/>
    </w:pPr>
  </w:style>
  <w:style w:type="paragraph" w:styleId="TOC3">
    <w:name w:val="toc 3"/>
    <w:basedOn w:val="Normal"/>
    <w:next w:val="Normal"/>
    <w:autoRedefine/>
    <w:uiPriority w:val="99"/>
    <w:semiHidden/>
    <w:pPr>
      <w:spacing w:after="57"/>
      <w:ind w:left="567"/>
    </w:pPr>
  </w:style>
  <w:style w:type="paragraph" w:styleId="TOC4">
    <w:name w:val="toc 4"/>
    <w:basedOn w:val="Normal"/>
    <w:next w:val="Normal"/>
    <w:autoRedefine/>
    <w:uiPriority w:val="99"/>
    <w:semiHidden/>
    <w:pPr>
      <w:spacing w:after="57"/>
      <w:ind w:left="850"/>
    </w:pPr>
  </w:style>
  <w:style w:type="paragraph" w:styleId="TOC5">
    <w:name w:val="toc 5"/>
    <w:basedOn w:val="Normal"/>
    <w:next w:val="Normal"/>
    <w:autoRedefine/>
    <w:uiPriority w:val="99"/>
    <w:semiHidden/>
    <w:pPr>
      <w:spacing w:after="57"/>
      <w:ind w:left="1134"/>
    </w:pPr>
  </w:style>
  <w:style w:type="paragraph" w:styleId="TOC6">
    <w:name w:val="toc 6"/>
    <w:basedOn w:val="Normal"/>
    <w:next w:val="Normal"/>
    <w:autoRedefine/>
    <w:uiPriority w:val="99"/>
    <w:semiHidden/>
    <w:pPr>
      <w:spacing w:after="57"/>
      <w:ind w:left="1417"/>
    </w:pPr>
  </w:style>
  <w:style w:type="paragraph" w:styleId="TOC7">
    <w:name w:val="toc 7"/>
    <w:basedOn w:val="Normal"/>
    <w:next w:val="Normal"/>
    <w:autoRedefine/>
    <w:uiPriority w:val="99"/>
    <w:semiHidden/>
    <w:pPr>
      <w:spacing w:after="57"/>
      <w:ind w:left="1701"/>
    </w:pPr>
  </w:style>
  <w:style w:type="paragraph" w:styleId="TOC8">
    <w:name w:val="toc 8"/>
    <w:basedOn w:val="Normal"/>
    <w:next w:val="Normal"/>
    <w:autoRedefine/>
    <w:uiPriority w:val="99"/>
    <w:semiHidden/>
    <w:pPr>
      <w:spacing w:after="57"/>
      <w:ind w:left="1984"/>
    </w:pPr>
  </w:style>
  <w:style w:type="paragraph" w:styleId="TOC9">
    <w:name w:val="toc 9"/>
    <w:basedOn w:val="Normal"/>
    <w:next w:val="Normal"/>
    <w:autoRedefine/>
    <w:uiPriority w:val="99"/>
    <w:semiHidden/>
    <w:pPr>
      <w:spacing w:after="57"/>
      <w:ind w:left="2268"/>
    </w:pPr>
  </w:style>
  <w:style w:type="paragraph" w:styleId="TOCHeading">
    <w:name w:val="TOC Heading"/>
    <w:basedOn w:val="Heading1"/>
    <w:uiPriority w:val="99"/>
    <w:qFormat/>
    <w:pPr>
      <w:keepNext w:val="0"/>
      <w:keepLines w:val="0"/>
      <w:spacing w:before="0" w:line="276" w:lineRule="auto"/>
      <w:outlineLvl w:val="9"/>
    </w:pPr>
    <w:rPr>
      <w:rFonts w:ascii="Calibri" w:hAnsi="Calibri" w:cs="Calibri"/>
      <w:sz w:val="22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semiHidden/>
  </w:style>
  <w:style w:type="character" w:customStyle="1" w:styleId="Heading3Char1">
    <w:name w:val="Heading 3 Char1"/>
    <w:link w:val="Heading3"/>
    <w:uiPriority w:val="99"/>
    <w:locked/>
    <w:rPr>
      <w:rFonts w:ascii="Times New Roman" w:hAnsi="Times New Roman" w:cs="Times New Roman"/>
      <w:sz w:val="28"/>
      <w:szCs w:val="28"/>
      <w:lang w:val="x-none" w:eastAsia="ar-SA" w:bidi="ar-SA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Header">
    <w:name w:val="header"/>
    <w:basedOn w:val="Normal"/>
    <w:link w:val="HeaderChar1"/>
    <w:uiPriority w:val="99"/>
    <w:pPr>
      <w:tabs>
        <w:tab w:val="center" w:pos="4153"/>
        <w:tab w:val="right" w:pos="8306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Subtitle">
    <w:name w:val="Subtitle"/>
    <w:basedOn w:val="Normal"/>
    <w:next w:val="BodyText"/>
    <w:link w:val="SubtitleChar1"/>
    <w:uiPriority w:val="99"/>
    <w:qFormat/>
    <w:pPr>
      <w:jc w:val="center"/>
    </w:pPr>
    <w:rPr>
      <w:rFonts w:ascii="Bookman Old Style" w:hAnsi="Bookman Old Style" w:cs="Bookman Old Style"/>
      <w:b/>
      <w:bCs/>
      <w:sz w:val="28"/>
      <w:szCs w:val="28"/>
    </w:rPr>
  </w:style>
  <w:style w:type="character" w:customStyle="1" w:styleId="SubtitleChar1">
    <w:name w:val="Subtitle Char1"/>
    <w:basedOn w:val="DefaultParagraphFont"/>
    <w:link w:val="Subtitle"/>
    <w:uiPriority w:val="99"/>
    <w:locked/>
    <w:rPr>
      <w:rFonts w:ascii="Bookman Old Style" w:hAnsi="Bookman Old Style" w:cs="Bookman Old Style"/>
      <w:b/>
      <w:bCs/>
      <w:sz w:val="20"/>
      <w:szCs w:val="20"/>
      <w:lang w:val="x-none" w:eastAsia="ar-SA" w:bidi="ar-SA"/>
    </w:rPr>
  </w:style>
  <w:style w:type="table" w:styleId="TableGrid">
    <w:name w:val="Table Grid"/>
    <w:basedOn w:val="TableNormal"/>
    <w:uiPriority w:val="99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pPr>
      <w:spacing w:before="30" w:after="30"/>
      <w:ind w:firstLine="300"/>
    </w:pPr>
    <w:rPr>
      <w:color w:val="000000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2C1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1571"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2">
    <w:name w:val="Знак Знак2"/>
    <w:basedOn w:val="Normal"/>
    <w:uiPriority w:val="99"/>
    <w:rsid w:val="009D3B5B"/>
    <w:pPr>
      <w:spacing w:after="160" w:line="240" w:lineRule="exact"/>
    </w:pPr>
    <w:rPr>
      <w:rFonts w:ascii="Verdana" w:eastAsia="Calibri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26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2</Pages>
  <Words>610</Words>
  <Characters>3477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xoo</cp:lastModifiedBy>
  <cp:revision>7</cp:revision>
  <cp:lastPrinted>2025-10-29T10:13:00Z</cp:lastPrinted>
  <dcterms:created xsi:type="dcterms:W3CDTF">2025-10-20T12:35:00Z</dcterms:created>
  <dcterms:modified xsi:type="dcterms:W3CDTF">2025-10-31T05:45:00Z</dcterms:modified>
</cp:coreProperties>
</file>