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7" w:rsidRPr="00781F87" w:rsidRDefault="00781F87" w:rsidP="00781F87">
      <w:pPr>
        <w:suppressAutoHyphens/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  <w:r w:rsidRPr="00781F87">
        <w:rPr>
          <w:noProof/>
          <w:sz w:val="28"/>
          <w:szCs w:val="28"/>
        </w:rPr>
        <w:drawing>
          <wp:inline distT="0" distB="0" distL="0" distR="0" wp14:anchorId="4CA23AEA" wp14:editId="06BB03BE">
            <wp:extent cx="445135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87" w:rsidRPr="00781F87" w:rsidRDefault="00781F87" w:rsidP="00781F87">
      <w:pPr>
        <w:suppressAutoHyphens/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  <w:r w:rsidRPr="00781F87">
        <w:rPr>
          <w:sz w:val="28"/>
          <w:szCs w:val="28"/>
          <w:lang w:eastAsia="ar-SA"/>
        </w:rPr>
        <w:t>АДМИНИСТРАЦИЯ ГОРОДА НЕВИННОМЫССКА</w:t>
      </w:r>
    </w:p>
    <w:p w:rsidR="00781F87" w:rsidRPr="00781F87" w:rsidRDefault="00781F87" w:rsidP="00781F87">
      <w:pPr>
        <w:suppressAutoHyphens/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  <w:r w:rsidRPr="00781F87">
        <w:rPr>
          <w:sz w:val="28"/>
          <w:szCs w:val="28"/>
          <w:lang w:eastAsia="ar-SA"/>
        </w:rPr>
        <w:t>СТАВРОПОЛЬСКОГО КРАЯ</w:t>
      </w:r>
    </w:p>
    <w:p w:rsidR="00781F87" w:rsidRPr="00781F87" w:rsidRDefault="00781F87" w:rsidP="00781F87">
      <w:pPr>
        <w:suppressAutoHyphens/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781F87" w:rsidRPr="00781F87" w:rsidRDefault="00781F87" w:rsidP="00781F87">
      <w:pPr>
        <w:suppressAutoHyphens/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  <w:r w:rsidRPr="00781F87">
        <w:rPr>
          <w:sz w:val="28"/>
          <w:szCs w:val="28"/>
          <w:lang w:eastAsia="ar-SA"/>
        </w:rPr>
        <w:t>ПОСТАНОВЛЕНИЕ</w:t>
      </w:r>
    </w:p>
    <w:p w:rsidR="00781F87" w:rsidRPr="00781F87" w:rsidRDefault="00781F87" w:rsidP="00781F87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781F87" w:rsidRPr="00781F87" w:rsidRDefault="00781F87" w:rsidP="00781F87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781F87" w:rsidRPr="00781F87" w:rsidRDefault="00781F87" w:rsidP="00781F87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sz w:val="28"/>
          <w:szCs w:val="28"/>
          <w:lang w:eastAsia="ar-SA"/>
        </w:rPr>
      </w:pPr>
    </w:p>
    <w:p w:rsidR="00781F87" w:rsidRPr="00781F87" w:rsidRDefault="00781F87" w:rsidP="00781F87">
      <w:pPr>
        <w:suppressAutoHyphens/>
        <w:overflowPunct w:val="0"/>
        <w:autoSpaceDE w:val="0"/>
        <w:ind w:right="-2"/>
        <w:rPr>
          <w:sz w:val="28"/>
          <w:szCs w:val="28"/>
          <w:lang w:eastAsia="ar-SA"/>
        </w:rPr>
      </w:pPr>
      <w:r w:rsidRPr="00781F87">
        <w:rPr>
          <w:sz w:val="28"/>
          <w:szCs w:val="28"/>
          <w:lang w:eastAsia="ar-SA"/>
        </w:rPr>
        <w:t>24.09.2020                                  г. Невинномысск                                      № 1500</w:t>
      </w:r>
    </w:p>
    <w:p w:rsidR="00781F87" w:rsidRPr="00781F87" w:rsidRDefault="00781F87" w:rsidP="00781F87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781F87" w:rsidRPr="00781F87" w:rsidRDefault="00781F87" w:rsidP="00781F87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781F87" w:rsidRPr="00781F87" w:rsidRDefault="00781F87" w:rsidP="00781F87">
      <w:pPr>
        <w:spacing w:line="240" w:lineRule="exact"/>
        <w:jc w:val="center"/>
        <w:rPr>
          <w:sz w:val="28"/>
          <w:szCs w:val="28"/>
        </w:rPr>
      </w:pPr>
      <w:r w:rsidRPr="00781F87">
        <w:rPr>
          <w:sz w:val="28"/>
          <w:szCs w:val="28"/>
        </w:rPr>
        <w:t>Об утверждении основных направлений долговой политики города Невинномысска на 2021 год и на плановый период 2022 и 2023 годов</w:t>
      </w:r>
    </w:p>
    <w:p w:rsidR="00781F87" w:rsidRPr="00781F87" w:rsidRDefault="00781F87" w:rsidP="00781F87">
      <w:pPr>
        <w:jc w:val="center"/>
        <w:rPr>
          <w:sz w:val="28"/>
          <w:szCs w:val="28"/>
        </w:rPr>
      </w:pPr>
    </w:p>
    <w:p w:rsidR="00781F87" w:rsidRPr="00781F87" w:rsidRDefault="00781F87" w:rsidP="00781F87">
      <w:pPr>
        <w:jc w:val="center"/>
        <w:rPr>
          <w:sz w:val="28"/>
          <w:szCs w:val="28"/>
        </w:rPr>
      </w:pPr>
    </w:p>
    <w:p w:rsidR="00781F87" w:rsidRPr="00781F87" w:rsidRDefault="00781F87" w:rsidP="00781F87">
      <w:pPr>
        <w:ind w:firstLine="709"/>
        <w:jc w:val="both"/>
        <w:rPr>
          <w:spacing w:val="20"/>
          <w:sz w:val="28"/>
          <w:szCs w:val="28"/>
        </w:rPr>
      </w:pPr>
      <w:r w:rsidRPr="00781F87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Невинномысске, утвержденным решением Думы города Невинномысска от 28 февраля 2018 г. № 234-27, </w:t>
      </w:r>
      <w:r w:rsidRPr="00781F87">
        <w:rPr>
          <w:spacing w:val="20"/>
          <w:sz w:val="28"/>
          <w:szCs w:val="28"/>
        </w:rPr>
        <w:t>постановляю:</w:t>
      </w:r>
    </w:p>
    <w:p w:rsidR="00781F87" w:rsidRPr="00781F87" w:rsidRDefault="00781F87" w:rsidP="00781F87">
      <w:pPr>
        <w:ind w:firstLine="709"/>
        <w:jc w:val="both"/>
        <w:rPr>
          <w:sz w:val="28"/>
          <w:szCs w:val="28"/>
        </w:rPr>
      </w:pPr>
    </w:p>
    <w:p w:rsidR="00781F87" w:rsidRPr="00781F87" w:rsidRDefault="00781F87" w:rsidP="00781F87">
      <w:pPr>
        <w:ind w:firstLine="709"/>
        <w:jc w:val="both"/>
        <w:rPr>
          <w:sz w:val="28"/>
          <w:szCs w:val="28"/>
        </w:rPr>
      </w:pPr>
      <w:r w:rsidRPr="00781F87">
        <w:rPr>
          <w:sz w:val="28"/>
          <w:szCs w:val="28"/>
        </w:rPr>
        <w:t>1. Утвердить основные направления долговой политики города Невинномысска на 2021 год и на плановый период 2022 и 2023 годов (далее – основные направления долговой политики) согласно приложению к настоящему постановлению.</w:t>
      </w:r>
    </w:p>
    <w:p w:rsidR="00781F87" w:rsidRPr="00781F87" w:rsidRDefault="00781F87" w:rsidP="00781F87">
      <w:pPr>
        <w:ind w:firstLine="709"/>
        <w:jc w:val="both"/>
        <w:rPr>
          <w:sz w:val="28"/>
          <w:szCs w:val="28"/>
        </w:rPr>
      </w:pPr>
      <w:r w:rsidRPr="00781F87">
        <w:rPr>
          <w:sz w:val="28"/>
          <w:szCs w:val="28"/>
        </w:rPr>
        <w:t xml:space="preserve">2. </w:t>
      </w:r>
      <w:r w:rsidRPr="00781F87">
        <w:rPr>
          <w:spacing w:val="5"/>
          <w:sz w:val="28"/>
          <w:szCs w:val="28"/>
        </w:rPr>
        <w:t xml:space="preserve">Финансовому управлению администрации города Невинномысска </w:t>
      </w:r>
      <w:r w:rsidRPr="00781F87">
        <w:rPr>
          <w:sz w:val="28"/>
          <w:szCs w:val="28"/>
        </w:rPr>
        <w:t>учесть при формировании бюджета города Невинномысска на 2021 год и на плановый период 2022 и 2023 годов основные направления долговой политики.</w:t>
      </w:r>
    </w:p>
    <w:p w:rsidR="00781F87" w:rsidRPr="00781F87" w:rsidRDefault="00781F87" w:rsidP="00781F87">
      <w:pPr>
        <w:jc w:val="both"/>
        <w:rPr>
          <w:sz w:val="28"/>
          <w:szCs w:val="28"/>
        </w:rPr>
      </w:pPr>
      <w:r w:rsidRPr="00781F87">
        <w:rPr>
          <w:sz w:val="28"/>
          <w:szCs w:val="28"/>
        </w:rPr>
        <w:tab/>
        <w:t xml:space="preserve">3. </w:t>
      </w:r>
      <w:proofErr w:type="gramStart"/>
      <w:r w:rsidRPr="00781F87">
        <w:rPr>
          <w:sz w:val="28"/>
          <w:szCs w:val="28"/>
        </w:rPr>
        <w:t>Контроль за</w:t>
      </w:r>
      <w:proofErr w:type="gramEnd"/>
      <w:r w:rsidRPr="00781F8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81F87" w:rsidRPr="00781F87" w:rsidRDefault="00781F87" w:rsidP="00781F87">
      <w:pPr>
        <w:jc w:val="both"/>
        <w:rPr>
          <w:sz w:val="28"/>
          <w:szCs w:val="28"/>
        </w:rPr>
      </w:pPr>
    </w:p>
    <w:p w:rsidR="00781F87" w:rsidRPr="00781F87" w:rsidRDefault="00781F87" w:rsidP="00781F87">
      <w:pPr>
        <w:jc w:val="both"/>
        <w:rPr>
          <w:sz w:val="28"/>
          <w:szCs w:val="28"/>
        </w:rPr>
      </w:pPr>
    </w:p>
    <w:p w:rsidR="00781F87" w:rsidRPr="00781F87" w:rsidRDefault="00781F87" w:rsidP="00781F87">
      <w:pPr>
        <w:jc w:val="both"/>
        <w:rPr>
          <w:sz w:val="28"/>
          <w:szCs w:val="28"/>
        </w:rPr>
      </w:pP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Глава города Невинномысска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Ставропольского края</w:t>
      </w:r>
      <w:r w:rsidRPr="00781F87">
        <w:rPr>
          <w:sz w:val="28"/>
          <w:szCs w:val="28"/>
        </w:rPr>
        <w:tab/>
      </w:r>
      <w:r w:rsidRPr="00781F87">
        <w:rPr>
          <w:sz w:val="28"/>
          <w:szCs w:val="28"/>
        </w:rPr>
        <w:tab/>
      </w:r>
      <w:r w:rsidRPr="00781F87">
        <w:rPr>
          <w:sz w:val="28"/>
          <w:szCs w:val="28"/>
        </w:rPr>
        <w:tab/>
      </w:r>
      <w:r w:rsidRPr="00781F87">
        <w:rPr>
          <w:sz w:val="28"/>
          <w:szCs w:val="28"/>
        </w:rPr>
        <w:tab/>
      </w:r>
      <w:r w:rsidRPr="00781F87">
        <w:rPr>
          <w:sz w:val="28"/>
          <w:szCs w:val="28"/>
        </w:rPr>
        <w:tab/>
      </w:r>
      <w:r w:rsidRPr="00781F87">
        <w:rPr>
          <w:sz w:val="28"/>
          <w:szCs w:val="28"/>
        </w:rPr>
        <w:tab/>
      </w:r>
      <w:r w:rsidRPr="00781F87">
        <w:rPr>
          <w:sz w:val="28"/>
          <w:szCs w:val="28"/>
        </w:rPr>
        <w:tab/>
        <w:t xml:space="preserve">     М.А. Миненков</w:t>
      </w:r>
    </w:p>
    <w:p w:rsidR="00781F87" w:rsidRPr="00781F87" w:rsidRDefault="00781F87" w:rsidP="00781F87">
      <w:pPr>
        <w:rPr>
          <w:sz w:val="28"/>
          <w:szCs w:val="28"/>
          <w:lang w:eastAsia="en-US"/>
        </w:rPr>
        <w:sectPr w:rsidR="00781F87" w:rsidRPr="00781F87" w:rsidSect="00A3444D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</w:p>
    <w:p w:rsidR="00781F87" w:rsidRPr="00781F87" w:rsidRDefault="00781F87" w:rsidP="00781F87">
      <w:pPr>
        <w:rPr>
          <w:sz w:val="28"/>
          <w:szCs w:val="28"/>
          <w:lang w:eastAsia="en-US"/>
        </w:rPr>
      </w:pPr>
      <w:r w:rsidRPr="00781F87">
        <w:rPr>
          <w:sz w:val="28"/>
          <w:szCs w:val="28"/>
          <w:lang w:eastAsia="en-US"/>
        </w:rPr>
        <w:lastRenderedPageBreak/>
        <w:t>Проект подготовил:</w:t>
      </w:r>
    </w:p>
    <w:p w:rsidR="00781F87" w:rsidRPr="00781F87" w:rsidRDefault="00781F87" w:rsidP="00781F87">
      <w:pPr>
        <w:tabs>
          <w:tab w:val="left" w:pos="709"/>
        </w:tabs>
        <w:rPr>
          <w:sz w:val="28"/>
          <w:szCs w:val="28"/>
        </w:rPr>
      </w:pPr>
    </w:p>
    <w:p w:rsidR="00781F87" w:rsidRPr="00781F87" w:rsidRDefault="00781F87" w:rsidP="00781F87">
      <w:pPr>
        <w:tabs>
          <w:tab w:val="left" w:pos="709"/>
        </w:tabs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Заместитель главы администрации города,</w:t>
      </w:r>
    </w:p>
    <w:p w:rsidR="00781F87" w:rsidRPr="00781F87" w:rsidRDefault="00781F87" w:rsidP="00781F87">
      <w:pPr>
        <w:tabs>
          <w:tab w:val="left" w:pos="709"/>
        </w:tabs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руководитель финансового управления</w:t>
      </w:r>
    </w:p>
    <w:p w:rsidR="00781F87" w:rsidRPr="00781F87" w:rsidRDefault="00781F87" w:rsidP="00781F87">
      <w:pPr>
        <w:tabs>
          <w:tab w:val="left" w:pos="709"/>
        </w:tabs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 xml:space="preserve">администрации города Невинномысска                                       О.В. </w:t>
      </w:r>
      <w:proofErr w:type="spellStart"/>
      <w:r w:rsidRPr="00781F87">
        <w:rPr>
          <w:sz w:val="28"/>
          <w:szCs w:val="28"/>
        </w:rPr>
        <w:t>Колбасова</w:t>
      </w:r>
      <w:proofErr w:type="spellEnd"/>
    </w:p>
    <w:p w:rsidR="00781F87" w:rsidRPr="00781F87" w:rsidRDefault="00781F87" w:rsidP="00781F87">
      <w:pPr>
        <w:rPr>
          <w:sz w:val="28"/>
          <w:szCs w:val="28"/>
          <w:lang w:eastAsia="en-US"/>
        </w:rPr>
      </w:pPr>
    </w:p>
    <w:p w:rsidR="00781F87" w:rsidRPr="00781F87" w:rsidRDefault="00781F87" w:rsidP="00781F87">
      <w:pPr>
        <w:rPr>
          <w:sz w:val="28"/>
          <w:szCs w:val="28"/>
          <w:lang w:eastAsia="en-US"/>
        </w:rPr>
      </w:pPr>
      <w:r w:rsidRPr="00781F87">
        <w:rPr>
          <w:sz w:val="28"/>
          <w:szCs w:val="28"/>
          <w:lang w:eastAsia="en-US"/>
        </w:rPr>
        <w:t>Проект визируют:</w:t>
      </w:r>
    </w:p>
    <w:p w:rsidR="00781F87" w:rsidRPr="00781F87" w:rsidRDefault="00781F87" w:rsidP="00781F87">
      <w:pPr>
        <w:rPr>
          <w:sz w:val="28"/>
          <w:szCs w:val="28"/>
        </w:rPr>
      </w:pP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 xml:space="preserve">Первый заместитель главы 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администрации города Невинномысска                                         В.Э. Соколюк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 xml:space="preserve">Заместитель главы 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администрации города Невинномысска                                     О.А. Бондаренко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Начальник правового управления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proofErr w:type="gramStart"/>
      <w:r w:rsidRPr="00781F87">
        <w:rPr>
          <w:sz w:val="28"/>
          <w:szCs w:val="28"/>
        </w:rPr>
        <w:t>Исполняющий</w:t>
      </w:r>
      <w:proofErr w:type="gramEnd"/>
      <w:r w:rsidRPr="00781F87">
        <w:rPr>
          <w:sz w:val="28"/>
          <w:szCs w:val="28"/>
        </w:rPr>
        <w:t xml:space="preserve"> обязанности начальника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>общего отдела администрации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 xml:space="preserve">города Невинномысска, 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 xml:space="preserve">заместитель начальника общего отдела </w:t>
      </w:r>
    </w:p>
    <w:p w:rsidR="00781F87" w:rsidRPr="00781F87" w:rsidRDefault="00781F87" w:rsidP="00781F87">
      <w:pPr>
        <w:spacing w:line="240" w:lineRule="exact"/>
        <w:rPr>
          <w:sz w:val="28"/>
          <w:szCs w:val="28"/>
        </w:rPr>
      </w:pPr>
      <w:r w:rsidRPr="00781F87">
        <w:rPr>
          <w:sz w:val="28"/>
          <w:szCs w:val="28"/>
        </w:rPr>
        <w:t xml:space="preserve">администрации города Невинномысска                              И.Г. </w:t>
      </w:r>
      <w:proofErr w:type="gramStart"/>
      <w:r w:rsidRPr="00781F87">
        <w:rPr>
          <w:sz w:val="28"/>
          <w:szCs w:val="28"/>
        </w:rPr>
        <w:t>Белоцерковская</w:t>
      </w:r>
      <w:proofErr w:type="gramEnd"/>
    </w:p>
    <w:p w:rsidR="00781F87" w:rsidRDefault="00781F87" w:rsidP="00781F87">
      <w:pPr>
        <w:ind w:left="4961" w:right="282"/>
        <w:jc w:val="center"/>
        <w:rPr>
          <w:sz w:val="28"/>
          <w:szCs w:val="28"/>
        </w:rPr>
        <w:sectPr w:rsidR="00781F87" w:rsidSect="00781F87">
          <w:headerReference w:type="even" r:id="rId10"/>
          <w:headerReference w:type="default" r:id="rId11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 w:rsidRPr="00781F87">
        <w:rPr>
          <w:sz w:val="28"/>
          <w:szCs w:val="28"/>
        </w:rPr>
        <w:br w:type="page"/>
      </w:r>
    </w:p>
    <w:p w:rsidR="00031EB9" w:rsidRPr="00976D93" w:rsidRDefault="00375705" w:rsidP="00781F87">
      <w:pPr>
        <w:ind w:left="4961" w:right="2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1EB9" w:rsidRDefault="00375705" w:rsidP="00BD7E90">
      <w:pPr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31EB9" w:rsidRPr="00976D9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31EB9" w:rsidRPr="00976D93">
        <w:rPr>
          <w:sz w:val="28"/>
          <w:szCs w:val="28"/>
        </w:rPr>
        <w:t xml:space="preserve"> администрации города Невинномысска</w:t>
      </w:r>
    </w:p>
    <w:p w:rsidR="00781F87" w:rsidRPr="00976D93" w:rsidRDefault="00781F87" w:rsidP="00BD7E90">
      <w:pPr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24.09.2020 № 1500</w:t>
      </w:r>
    </w:p>
    <w:p w:rsidR="00311017" w:rsidRPr="00976D93" w:rsidRDefault="00311017" w:rsidP="00031EB9">
      <w:pPr>
        <w:jc w:val="both"/>
        <w:rPr>
          <w:sz w:val="28"/>
          <w:szCs w:val="28"/>
        </w:rPr>
      </w:pPr>
    </w:p>
    <w:p w:rsidR="00031EB9" w:rsidRPr="00976D93" w:rsidRDefault="00031EB9" w:rsidP="00031EB9">
      <w:pPr>
        <w:jc w:val="both"/>
        <w:rPr>
          <w:sz w:val="28"/>
          <w:szCs w:val="28"/>
        </w:rPr>
      </w:pPr>
    </w:p>
    <w:p w:rsidR="00031EB9" w:rsidRDefault="00031EB9" w:rsidP="00031EB9">
      <w:pPr>
        <w:jc w:val="both"/>
        <w:rPr>
          <w:sz w:val="28"/>
          <w:szCs w:val="28"/>
        </w:rPr>
      </w:pPr>
    </w:p>
    <w:p w:rsidR="00781F87" w:rsidRPr="00976D93" w:rsidRDefault="00781F87" w:rsidP="00031EB9">
      <w:pPr>
        <w:jc w:val="both"/>
        <w:rPr>
          <w:sz w:val="28"/>
          <w:szCs w:val="28"/>
        </w:rPr>
      </w:pPr>
      <w:bookmarkStart w:id="0" w:name="_GoBack"/>
      <w:bookmarkEnd w:id="0"/>
    </w:p>
    <w:p w:rsidR="00031EB9" w:rsidRPr="00A75A1F" w:rsidRDefault="00031EB9" w:rsidP="00225770">
      <w:pPr>
        <w:jc w:val="center"/>
        <w:rPr>
          <w:sz w:val="28"/>
          <w:szCs w:val="28"/>
        </w:rPr>
      </w:pPr>
      <w:r w:rsidRPr="00A75A1F">
        <w:rPr>
          <w:sz w:val="28"/>
          <w:szCs w:val="28"/>
        </w:rPr>
        <w:t>ОСНОВНЫЕ НАПРАВЛЕНИЯ</w:t>
      </w:r>
    </w:p>
    <w:p w:rsidR="0091355A" w:rsidRPr="00A75A1F" w:rsidRDefault="0091355A" w:rsidP="0022577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pacing w:val="2"/>
          <w:sz w:val="28"/>
          <w:szCs w:val="28"/>
        </w:rPr>
      </w:pPr>
      <w:r w:rsidRPr="00A75A1F">
        <w:rPr>
          <w:bCs/>
          <w:color w:val="000000" w:themeColor="text1"/>
          <w:spacing w:val="2"/>
          <w:sz w:val="28"/>
          <w:szCs w:val="28"/>
        </w:rPr>
        <w:t xml:space="preserve">долговой политики </w:t>
      </w:r>
      <w:r w:rsidR="002272F7" w:rsidRPr="00A75A1F">
        <w:rPr>
          <w:bCs/>
          <w:color w:val="000000" w:themeColor="text1"/>
          <w:spacing w:val="2"/>
          <w:sz w:val="28"/>
          <w:szCs w:val="28"/>
        </w:rPr>
        <w:t>города Невинномысска</w:t>
      </w:r>
      <w:r w:rsidRPr="00A75A1F">
        <w:rPr>
          <w:bCs/>
          <w:color w:val="000000" w:themeColor="text1"/>
          <w:spacing w:val="2"/>
          <w:sz w:val="28"/>
          <w:szCs w:val="28"/>
        </w:rPr>
        <w:t xml:space="preserve"> на 20</w:t>
      </w:r>
      <w:r w:rsidR="00B0517A" w:rsidRPr="00A75A1F">
        <w:rPr>
          <w:bCs/>
          <w:color w:val="000000" w:themeColor="text1"/>
          <w:spacing w:val="2"/>
          <w:sz w:val="28"/>
          <w:szCs w:val="28"/>
        </w:rPr>
        <w:t>2</w:t>
      </w:r>
      <w:r w:rsidR="00A75A1F" w:rsidRPr="00A75A1F">
        <w:rPr>
          <w:bCs/>
          <w:color w:val="000000" w:themeColor="text1"/>
          <w:spacing w:val="2"/>
          <w:sz w:val="28"/>
          <w:szCs w:val="28"/>
        </w:rPr>
        <w:t>1</w:t>
      </w:r>
      <w:r w:rsidRPr="00A75A1F">
        <w:rPr>
          <w:bCs/>
          <w:color w:val="000000" w:themeColor="text1"/>
          <w:spacing w:val="2"/>
          <w:sz w:val="28"/>
          <w:szCs w:val="28"/>
        </w:rPr>
        <w:t xml:space="preserve"> год и </w:t>
      </w:r>
      <w:proofErr w:type="gramStart"/>
      <w:r w:rsidR="002272F7" w:rsidRPr="00A75A1F">
        <w:rPr>
          <w:bCs/>
          <w:color w:val="000000" w:themeColor="text1"/>
          <w:spacing w:val="2"/>
          <w:sz w:val="28"/>
          <w:szCs w:val="28"/>
        </w:rPr>
        <w:t>на</w:t>
      </w:r>
      <w:proofErr w:type="gramEnd"/>
      <w:r w:rsidR="002272F7" w:rsidRPr="00A75A1F"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A75A1F">
        <w:rPr>
          <w:bCs/>
          <w:color w:val="000000" w:themeColor="text1"/>
          <w:spacing w:val="2"/>
          <w:sz w:val="28"/>
          <w:szCs w:val="28"/>
        </w:rPr>
        <w:t xml:space="preserve">плановый </w:t>
      </w:r>
    </w:p>
    <w:p w:rsidR="0091355A" w:rsidRPr="00A75A1F" w:rsidRDefault="0091355A" w:rsidP="0022577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pacing w:val="2"/>
          <w:sz w:val="28"/>
          <w:szCs w:val="28"/>
        </w:rPr>
      </w:pPr>
      <w:r w:rsidRPr="00A75A1F">
        <w:rPr>
          <w:bCs/>
          <w:color w:val="000000" w:themeColor="text1"/>
          <w:spacing w:val="2"/>
          <w:sz w:val="28"/>
          <w:szCs w:val="28"/>
        </w:rPr>
        <w:t>период 20</w:t>
      </w:r>
      <w:r w:rsidR="00D8152D" w:rsidRPr="00A75A1F">
        <w:rPr>
          <w:bCs/>
          <w:color w:val="000000" w:themeColor="text1"/>
          <w:spacing w:val="2"/>
          <w:sz w:val="28"/>
          <w:szCs w:val="28"/>
        </w:rPr>
        <w:t>2</w:t>
      </w:r>
      <w:r w:rsidR="00A75A1F" w:rsidRPr="00A75A1F">
        <w:rPr>
          <w:bCs/>
          <w:color w:val="000000" w:themeColor="text1"/>
          <w:spacing w:val="2"/>
          <w:sz w:val="28"/>
          <w:szCs w:val="28"/>
        </w:rPr>
        <w:t>2</w:t>
      </w:r>
      <w:r w:rsidRPr="00A75A1F">
        <w:rPr>
          <w:bCs/>
          <w:color w:val="000000" w:themeColor="text1"/>
          <w:spacing w:val="2"/>
          <w:sz w:val="28"/>
          <w:szCs w:val="28"/>
        </w:rPr>
        <w:t xml:space="preserve"> и 202</w:t>
      </w:r>
      <w:r w:rsidR="00A75A1F" w:rsidRPr="00A75A1F">
        <w:rPr>
          <w:bCs/>
          <w:color w:val="000000" w:themeColor="text1"/>
          <w:spacing w:val="2"/>
          <w:sz w:val="28"/>
          <w:szCs w:val="28"/>
        </w:rPr>
        <w:t>3</w:t>
      </w:r>
      <w:r w:rsidRPr="00A75A1F">
        <w:rPr>
          <w:bCs/>
          <w:color w:val="000000" w:themeColor="text1"/>
          <w:spacing w:val="2"/>
          <w:sz w:val="28"/>
          <w:szCs w:val="28"/>
        </w:rPr>
        <w:t xml:space="preserve"> годов</w:t>
      </w:r>
    </w:p>
    <w:p w:rsidR="000029E7" w:rsidRPr="00A75A1F" w:rsidRDefault="000029E7" w:rsidP="0022577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pacing w:val="2"/>
          <w:sz w:val="28"/>
          <w:szCs w:val="28"/>
        </w:rPr>
      </w:pPr>
    </w:p>
    <w:p w:rsidR="0091355A" w:rsidRPr="00A75A1F" w:rsidRDefault="0091355A" w:rsidP="00225770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2"/>
          <w:sz w:val="28"/>
          <w:szCs w:val="28"/>
        </w:rPr>
      </w:pPr>
    </w:p>
    <w:p w:rsidR="0091355A" w:rsidRPr="00A75A1F" w:rsidRDefault="0091355A" w:rsidP="00A516D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2"/>
          <w:sz w:val="28"/>
          <w:szCs w:val="28"/>
        </w:rPr>
      </w:pPr>
      <w:bookmarkStart w:id="1" w:name="Par33"/>
      <w:bookmarkEnd w:id="1"/>
      <w:r w:rsidRPr="00A75A1F">
        <w:rPr>
          <w:color w:val="000000" w:themeColor="text1"/>
          <w:spacing w:val="2"/>
          <w:sz w:val="28"/>
          <w:szCs w:val="28"/>
          <w:lang w:val="en-US"/>
        </w:rPr>
        <w:t>I</w:t>
      </w:r>
      <w:r w:rsidRPr="00A75A1F">
        <w:rPr>
          <w:color w:val="000000" w:themeColor="text1"/>
          <w:spacing w:val="2"/>
          <w:sz w:val="28"/>
          <w:szCs w:val="28"/>
        </w:rPr>
        <w:t>. Общие положения</w:t>
      </w:r>
    </w:p>
    <w:p w:rsidR="00031EB9" w:rsidRPr="00A75A1F" w:rsidRDefault="00031EB9" w:rsidP="00A516D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2"/>
          <w:sz w:val="28"/>
          <w:szCs w:val="28"/>
          <w:highlight w:val="yellow"/>
        </w:rPr>
      </w:pPr>
    </w:p>
    <w:p w:rsidR="00B2465C" w:rsidRPr="00685AB5" w:rsidRDefault="0091355A" w:rsidP="00A51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5A1F">
        <w:rPr>
          <w:color w:val="000000" w:themeColor="text1"/>
          <w:spacing w:val="2"/>
          <w:sz w:val="28"/>
          <w:szCs w:val="28"/>
        </w:rPr>
        <w:t xml:space="preserve">Основные направления долговой политики </w:t>
      </w:r>
      <w:r w:rsidR="00F7798D" w:rsidRPr="00A75A1F">
        <w:rPr>
          <w:color w:val="000000" w:themeColor="text1"/>
          <w:spacing w:val="2"/>
          <w:sz w:val="28"/>
          <w:szCs w:val="28"/>
        </w:rPr>
        <w:t>города Невинномысска</w:t>
      </w:r>
      <w:r w:rsidRPr="00A75A1F">
        <w:rPr>
          <w:color w:val="000000" w:themeColor="text1"/>
          <w:spacing w:val="2"/>
          <w:sz w:val="28"/>
          <w:szCs w:val="28"/>
        </w:rPr>
        <w:t xml:space="preserve"> на</w:t>
      </w:r>
      <w:r w:rsidR="00031EB9" w:rsidRPr="00A75A1F">
        <w:rPr>
          <w:color w:val="000000" w:themeColor="text1"/>
          <w:spacing w:val="2"/>
          <w:sz w:val="28"/>
          <w:szCs w:val="28"/>
        </w:rPr>
        <w:t> </w:t>
      </w:r>
      <w:r w:rsidRPr="00A75A1F">
        <w:rPr>
          <w:color w:val="000000" w:themeColor="text1"/>
          <w:spacing w:val="2"/>
          <w:sz w:val="28"/>
          <w:szCs w:val="28"/>
        </w:rPr>
        <w:t>20</w:t>
      </w:r>
      <w:r w:rsidR="005D4598" w:rsidRPr="00A75A1F">
        <w:rPr>
          <w:color w:val="000000" w:themeColor="text1"/>
          <w:spacing w:val="2"/>
          <w:sz w:val="28"/>
          <w:szCs w:val="28"/>
        </w:rPr>
        <w:t>2</w:t>
      </w:r>
      <w:r w:rsidR="00A75A1F" w:rsidRPr="00A75A1F">
        <w:rPr>
          <w:color w:val="000000" w:themeColor="text1"/>
          <w:spacing w:val="2"/>
          <w:sz w:val="28"/>
          <w:szCs w:val="28"/>
        </w:rPr>
        <w:t>1</w:t>
      </w:r>
      <w:r w:rsidRPr="00A75A1F">
        <w:rPr>
          <w:color w:val="000000" w:themeColor="text1"/>
          <w:spacing w:val="2"/>
          <w:sz w:val="28"/>
          <w:szCs w:val="28"/>
        </w:rPr>
        <w:t xml:space="preserve"> год и плановый период 20</w:t>
      </w:r>
      <w:r w:rsidR="00D8152D" w:rsidRPr="00A75A1F">
        <w:rPr>
          <w:color w:val="000000" w:themeColor="text1"/>
          <w:spacing w:val="2"/>
          <w:sz w:val="28"/>
          <w:szCs w:val="28"/>
        </w:rPr>
        <w:t>2</w:t>
      </w:r>
      <w:r w:rsidR="00A75A1F" w:rsidRPr="00A75A1F">
        <w:rPr>
          <w:color w:val="000000" w:themeColor="text1"/>
          <w:spacing w:val="2"/>
          <w:sz w:val="28"/>
          <w:szCs w:val="28"/>
        </w:rPr>
        <w:t>2</w:t>
      </w:r>
      <w:r w:rsidRPr="00A75A1F">
        <w:rPr>
          <w:color w:val="000000" w:themeColor="text1"/>
          <w:spacing w:val="2"/>
          <w:sz w:val="28"/>
          <w:szCs w:val="28"/>
        </w:rPr>
        <w:t xml:space="preserve"> и 202</w:t>
      </w:r>
      <w:r w:rsidR="00A75A1F" w:rsidRPr="00A75A1F">
        <w:rPr>
          <w:color w:val="000000" w:themeColor="text1"/>
          <w:spacing w:val="2"/>
          <w:sz w:val="28"/>
          <w:szCs w:val="28"/>
        </w:rPr>
        <w:t>3</w:t>
      </w:r>
      <w:r w:rsidRPr="00A75A1F">
        <w:rPr>
          <w:color w:val="000000" w:themeColor="text1"/>
          <w:spacing w:val="2"/>
          <w:sz w:val="28"/>
          <w:szCs w:val="28"/>
        </w:rPr>
        <w:t xml:space="preserve"> годов (далее – долговая политика</w:t>
      </w:r>
      <w:r w:rsidR="003E6570" w:rsidRPr="00A75A1F">
        <w:rPr>
          <w:color w:val="000000" w:themeColor="text1"/>
          <w:spacing w:val="2"/>
          <w:sz w:val="28"/>
          <w:szCs w:val="28"/>
        </w:rPr>
        <w:t xml:space="preserve">) </w:t>
      </w:r>
      <w:r w:rsidR="00B2465C" w:rsidRPr="00A75A1F">
        <w:rPr>
          <w:sz w:val="28"/>
          <w:szCs w:val="28"/>
        </w:rPr>
        <w:t xml:space="preserve">разработаны в соответствии с </w:t>
      </w:r>
      <w:r w:rsidR="00031EB9" w:rsidRPr="00A75A1F">
        <w:rPr>
          <w:sz w:val="28"/>
          <w:szCs w:val="28"/>
        </w:rPr>
        <w:t>о</w:t>
      </w:r>
      <w:r w:rsidR="00B2465C" w:rsidRPr="00A75A1F">
        <w:rPr>
          <w:sz w:val="28"/>
          <w:szCs w:val="28"/>
        </w:rPr>
        <w:t>сновными направлениями долговой политики Ставропольского края на 20</w:t>
      </w:r>
      <w:r w:rsidR="005D4598" w:rsidRPr="00A75A1F">
        <w:rPr>
          <w:sz w:val="28"/>
          <w:szCs w:val="28"/>
        </w:rPr>
        <w:t>2</w:t>
      </w:r>
      <w:r w:rsidR="00A75A1F" w:rsidRPr="00A75A1F">
        <w:rPr>
          <w:sz w:val="28"/>
          <w:szCs w:val="28"/>
        </w:rPr>
        <w:t>1</w:t>
      </w:r>
      <w:r w:rsidR="00B2465C" w:rsidRPr="00A75A1F">
        <w:rPr>
          <w:sz w:val="28"/>
          <w:szCs w:val="28"/>
        </w:rPr>
        <w:t xml:space="preserve"> год и плановый период 20</w:t>
      </w:r>
      <w:r w:rsidR="00D8152D" w:rsidRPr="00A75A1F">
        <w:rPr>
          <w:sz w:val="28"/>
          <w:szCs w:val="28"/>
        </w:rPr>
        <w:t>2</w:t>
      </w:r>
      <w:r w:rsidR="00A75A1F" w:rsidRPr="00A75A1F">
        <w:rPr>
          <w:sz w:val="28"/>
          <w:szCs w:val="28"/>
        </w:rPr>
        <w:t>2</w:t>
      </w:r>
      <w:r w:rsidR="00B2465C" w:rsidRPr="00A75A1F">
        <w:rPr>
          <w:sz w:val="28"/>
          <w:szCs w:val="28"/>
        </w:rPr>
        <w:t xml:space="preserve"> и 20</w:t>
      </w:r>
      <w:r w:rsidR="004579E3" w:rsidRPr="00A75A1F">
        <w:rPr>
          <w:sz w:val="28"/>
          <w:szCs w:val="28"/>
        </w:rPr>
        <w:t>2</w:t>
      </w:r>
      <w:r w:rsidR="00A75A1F" w:rsidRPr="00A75A1F">
        <w:rPr>
          <w:sz w:val="28"/>
          <w:szCs w:val="28"/>
        </w:rPr>
        <w:t>3</w:t>
      </w:r>
      <w:r w:rsidR="00031EB9" w:rsidRPr="00A75A1F">
        <w:rPr>
          <w:sz w:val="28"/>
          <w:szCs w:val="28"/>
        </w:rPr>
        <w:t> </w:t>
      </w:r>
      <w:r w:rsidR="00DC1DB2" w:rsidRPr="00A75A1F">
        <w:rPr>
          <w:sz w:val="28"/>
          <w:szCs w:val="28"/>
        </w:rPr>
        <w:t>годов, утвержденны</w:t>
      </w:r>
      <w:r w:rsidR="00225770" w:rsidRPr="00A75A1F">
        <w:rPr>
          <w:sz w:val="28"/>
          <w:szCs w:val="28"/>
        </w:rPr>
        <w:t>ми</w:t>
      </w:r>
      <w:r w:rsidR="00DC1DB2" w:rsidRPr="00A75A1F">
        <w:rPr>
          <w:sz w:val="28"/>
          <w:szCs w:val="28"/>
        </w:rPr>
        <w:t xml:space="preserve"> распоряжением Правит</w:t>
      </w:r>
      <w:r w:rsidR="000066AA" w:rsidRPr="00A75A1F">
        <w:rPr>
          <w:sz w:val="28"/>
          <w:szCs w:val="28"/>
        </w:rPr>
        <w:t xml:space="preserve">ельства Ставропольского края </w:t>
      </w:r>
      <w:r w:rsidR="000066AA" w:rsidRPr="00D62AED">
        <w:rPr>
          <w:sz w:val="28"/>
          <w:szCs w:val="28"/>
        </w:rPr>
        <w:t>от </w:t>
      </w:r>
      <w:r w:rsidR="005D4598" w:rsidRPr="00D62AED">
        <w:rPr>
          <w:sz w:val="28"/>
          <w:szCs w:val="28"/>
        </w:rPr>
        <w:t>3</w:t>
      </w:r>
      <w:r w:rsidR="00A75A1F" w:rsidRPr="00D62AED">
        <w:rPr>
          <w:sz w:val="28"/>
          <w:szCs w:val="28"/>
        </w:rPr>
        <w:t>1</w:t>
      </w:r>
      <w:r w:rsidR="000066AA" w:rsidRPr="00D62AED">
        <w:rPr>
          <w:sz w:val="28"/>
          <w:szCs w:val="28"/>
        </w:rPr>
        <w:t> </w:t>
      </w:r>
      <w:r w:rsidR="00DC1DB2" w:rsidRPr="00D62AED">
        <w:rPr>
          <w:sz w:val="28"/>
          <w:szCs w:val="28"/>
        </w:rPr>
        <w:t>августа 20</w:t>
      </w:r>
      <w:r w:rsidR="00A75A1F" w:rsidRPr="00D62AED">
        <w:rPr>
          <w:sz w:val="28"/>
          <w:szCs w:val="28"/>
        </w:rPr>
        <w:t>20</w:t>
      </w:r>
      <w:r w:rsidR="00DC1DB2" w:rsidRPr="00D62AED">
        <w:rPr>
          <w:sz w:val="28"/>
          <w:szCs w:val="28"/>
        </w:rPr>
        <w:t xml:space="preserve"> г. № </w:t>
      </w:r>
      <w:r w:rsidR="00A75A1F" w:rsidRPr="00D62AED">
        <w:rPr>
          <w:sz w:val="28"/>
          <w:szCs w:val="28"/>
        </w:rPr>
        <w:t>456</w:t>
      </w:r>
      <w:r w:rsidR="005D4598" w:rsidRPr="00A75A1F">
        <w:rPr>
          <w:sz w:val="28"/>
          <w:szCs w:val="28"/>
        </w:rPr>
        <w:t>-рп,</w:t>
      </w:r>
      <w:r w:rsidR="001772F7" w:rsidRPr="00A75A1F">
        <w:rPr>
          <w:sz w:val="28"/>
          <w:szCs w:val="28"/>
        </w:rPr>
        <w:t xml:space="preserve"> </w:t>
      </w:r>
      <w:r w:rsidR="001772F7" w:rsidRPr="00685AB5">
        <w:rPr>
          <w:sz w:val="28"/>
          <w:szCs w:val="28"/>
        </w:rPr>
        <w:t>программой оздоровления муниципальных финансов города Невинномысска на 2018 - 2021 годы</w:t>
      </w:r>
      <w:proofErr w:type="gramEnd"/>
      <w:r w:rsidR="001772F7" w:rsidRPr="00685AB5">
        <w:rPr>
          <w:sz w:val="28"/>
          <w:szCs w:val="28"/>
        </w:rPr>
        <w:t xml:space="preserve">, утвержденной постановлением администрации города Невинномысска </w:t>
      </w:r>
      <w:r w:rsidR="001772F7" w:rsidRPr="00BD7E90">
        <w:rPr>
          <w:sz w:val="28"/>
          <w:szCs w:val="28"/>
        </w:rPr>
        <w:t>от</w:t>
      </w:r>
      <w:r w:rsidR="00745E82" w:rsidRPr="00BD7E90">
        <w:rPr>
          <w:sz w:val="28"/>
          <w:szCs w:val="28"/>
        </w:rPr>
        <w:t xml:space="preserve"> </w:t>
      </w:r>
      <w:r w:rsidR="001772F7" w:rsidRPr="00BD7E90">
        <w:rPr>
          <w:sz w:val="28"/>
          <w:szCs w:val="28"/>
        </w:rPr>
        <w:t>29</w:t>
      </w:r>
      <w:r w:rsidR="00225770" w:rsidRPr="00BD7E90">
        <w:rPr>
          <w:sz w:val="28"/>
          <w:szCs w:val="28"/>
        </w:rPr>
        <w:t>.12.</w:t>
      </w:r>
      <w:r w:rsidR="001772F7" w:rsidRPr="00BD7E90">
        <w:rPr>
          <w:sz w:val="28"/>
          <w:szCs w:val="28"/>
        </w:rPr>
        <w:t>2018</w:t>
      </w:r>
      <w:r w:rsidR="000066AA" w:rsidRPr="00BD7E90">
        <w:rPr>
          <w:sz w:val="28"/>
          <w:szCs w:val="28"/>
        </w:rPr>
        <w:t xml:space="preserve"> № </w:t>
      </w:r>
      <w:r w:rsidR="001772F7" w:rsidRPr="00BD7E90">
        <w:rPr>
          <w:sz w:val="28"/>
          <w:szCs w:val="28"/>
        </w:rPr>
        <w:t>1993.</w:t>
      </w:r>
    </w:p>
    <w:p w:rsidR="000029E7" w:rsidRDefault="00DC1DB2" w:rsidP="00A51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E05">
        <w:rPr>
          <w:sz w:val="28"/>
          <w:szCs w:val="28"/>
        </w:rPr>
        <w:t>Долговая политика</w:t>
      </w:r>
      <w:r w:rsidR="00B2465C" w:rsidRPr="00255E05">
        <w:rPr>
          <w:sz w:val="28"/>
          <w:szCs w:val="28"/>
        </w:rPr>
        <w:t xml:space="preserve"> города Невинномысска (далее – город) </w:t>
      </w:r>
      <w:r w:rsidRPr="00255E05">
        <w:rPr>
          <w:sz w:val="28"/>
          <w:szCs w:val="28"/>
        </w:rPr>
        <w:t>направлена</w:t>
      </w:r>
      <w:r w:rsidR="00B2465C" w:rsidRPr="00255E05">
        <w:rPr>
          <w:sz w:val="28"/>
          <w:szCs w:val="28"/>
        </w:rPr>
        <w:t xml:space="preserve"> на </w:t>
      </w:r>
      <w:r w:rsidR="001772F7" w:rsidRPr="00255E05">
        <w:rPr>
          <w:sz w:val="28"/>
          <w:szCs w:val="28"/>
        </w:rPr>
        <w:t>обеспечение сбалансированности и долговой устойчивости бюджета города</w:t>
      </w:r>
      <w:r w:rsidR="00BD7E90">
        <w:rPr>
          <w:sz w:val="28"/>
          <w:szCs w:val="28"/>
        </w:rPr>
        <w:t>,</w:t>
      </w:r>
      <w:r w:rsidR="001772F7" w:rsidRPr="00255E05">
        <w:rPr>
          <w:sz w:val="28"/>
          <w:szCs w:val="28"/>
        </w:rPr>
        <w:t xml:space="preserve"> </w:t>
      </w:r>
      <w:r w:rsidR="00685AB5">
        <w:rPr>
          <w:sz w:val="28"/>
          <w:szCs w:val="28"/>
        </w:rPr>
        <w:t>путем сохранения объема муниципального долга города (далее – муниципальн</w:t>
      </w:r>
      <w:r w:rsidR="00BD7E90">
        <w:rPr>
          <w:sz w:val="28"/>
          <w:szCs w:val="28"/>
        </w:rPr>
        <w:t>ый</w:t>
      </w:r>
      <w:r w:rsidR="00685AB5">
        <w:rPr>
          <w:sz w:val="28"/>
          <w:szCs w:val="28"/>
        </w:rPr>
        <w:t xml:space="preserve"> долг) на безопасном уровне </w:t>
      </w:r>
      <w:r w:rsidR="001772F7" w:rsidRPr="00255E05">
        <w:rPr>
          <w:sz w:val="28"/>
          <w:szCs w:val="28"/>
        </w:rPr>
        <w:t>и</w:t>
      </w:r>
      <w:r w:rsidR="00B2465C" w:rsidRPr="00255E05">
        <w:rPr>
          <w:sz w:val="28"/>
          <w:szCs w:val="28"/>
        </w:rPr>
        <w:t xml:space="preserve"> миними</w:t>
      </w:r>
      <w:r w:rsidR="00DE3068" w:rsidRPr="00255E05">
        <w:rPr>
          <w:sz w:val="28"/>
          <w:szCs w:val="28"/>
        </w:rPr>
        <w:t>зац</w:t>
      </w:r>
      <w:r w:rsidR="00BD7E90">
        <w:rPr>
          <w:sz w:val="28"/>
          <w:szCs w:val="28"/>
        </w:rPr>
        <w:t>ии</w:t>
      </w:r>
      <w:r w:rsidR="00B2465C" w:rsidRPr="00255E05">
        <w:rPr>
          <w:sz w:val="28"/>
          <w:szCs w:val="28"/>
        </w:rPr>
        <w:t xml:space="preserve"> стоимости обслуживания муниципального долга</w:t>
      </w:r>
      <w:r w:rsidR="00685AB5">
        <w:rPr>
          <w:sz w:val="28"/>
          <w:szCs w:val="28"/>
        </w:rPr>
        <w:t>.</w:t>
      </w:r>
    </w:p>
    <w:p w:rsidR="00685AB5" w:rsidRPr="00A75A1F" w:rsidRDefault="00685AB5" w:rsidP="00A51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76D93" w:rsidRPr="00255E05" w:rsidRDefault="00976D93" w:rsidP="00A516DA">
      <w:pPr>
        <w:jc w:val="center"/>
        <w:rPr>
          <w:sz w:val="28"/>
          <w:szCs w:val="28"/>
        </w:rPr>
      </w:pPr>
      <w:r w:rsidRPr="00255E05">
        <w:rPr>
          <w:sz w:val="28"/>
          <w:szCs w:val="28"/>
        </w:rPr>
        <w:t xml:space="preserve">II. Реализация долговой политики </w:t>
      </w:r>
      <w:r w:rsidR="00225770" w:rsidRPr="00255E05">
        <w:rPr>
          <w:sz w:val="28"/>
          <w:szCs w:val="28"/>
        </w:rPr>
        <w:t xml:space="preserve">города </w:t>
      </w:r>
      <w:r w:rsidRPr="00255E05">
        <w:rPr>
          <w:sz w:val="28"/>
          <w:szCs w:val="28"/>
        </w:rPr>
        <w:t>по итогам 201</w:t>
      </w:r>
      <w:r w:rsidR="00255E05" w:rsidRPr="00255E05">
        <w:rPr>
          <w:sz w:val="28"/>
          <w:szCs w:val="28"/>
        </w:rPr>
        <w:t>7</w:t>
      </w:r>
      <w:r w:rsidR="003D413A" w:rsidRPr="00255E05">
        <w:rPr>
          <w:sz w:val="28"/>
          <w:szCs w:val="28"/>
        </w:rPr>
        <w:t xml:space="preserve"> </w:t>
      </w:r>
      <w:r w:rsidRPr="00255E05">
        <w:rPr>
          <w:sz w:val="28"/>
          <w:szCs w:val="28"/>
        </w:rPr>
        <w:t>-</w:t>
      </w:r>
      <w:r w:rsidR="003D413A" w:rsidRPr="00255E05">
        <w:rPr>
          <w:sz w:val="28"/>
          <w:szCs w:val="28"/>
        </w:rPr>
        <w:t xml:space="preserve"> </w:t>
      </w:r>
      <w:r w:rsidRPr="00255E05">
        <w:rPr>
          <w:sz w:val="28"/>
          <w:szCs w:val="28"/>
        </w:rPr>
        <w:t>201</w:t>
      </w:r>
      <w:r w:rsidR="00255E05" w:rsidRPr="00255E05">
        <w:rPr>
          <w:sz w:val="28"/>
          <w:szCs w:val="28"/>
        </w:rPr>
        <w:t>9</w:t>
      </w:r>
      <w:r w:rsidR="00225770" w:rsidRPr="00255E05">
        <w:rPr>
          <w:sz w:val="28"/>
          <w:szCs w:val="28"/>
        </w:rPr>
        <w:t xml:space="preserve"> годов и </w:t>
      </w:r>
      <w:r w:rsidRPr="00255E05">
        <w:rPr>
          <w:sz w:val="28"/>
          <w:szCs w:val="28"/>
        </w:rPr>
        <w:t>анализ текущего состояния муниципального долга</w:t>
      </w:r>
    </w:p>
    <w:p w:rsidR="00976D93" w:rsidRPr="00A75A1F" w:rsidRDefault="00976D93" w:rsidP="00A516DA">
      <w:pPr>
        <w:ind w:firstLine="709"/>
        <w:jc w:val="center"/>
        <w:rPr>
          <w:sz w:val="28"/>
          <w:szCs w:val="28"/>
          <w:highlight w:val="yellow"/>
        </w:rPr>
      </w:pPr>
    </w:p>
    <w:p w:rsidR="001C0C58" w:rsidRPr="00A75A1F" w:rsidRDefault="00976D93" w:rsidP="00A516D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highlight w:val="yellow"/>
        </w:rPr>
      </w:pPr>
      <w:r w:rsidRPr="00192F81">
        <w:rPr>
          <w:sz w:val="28"/>
          <w:szCs w:val="28"/>
        </w:rPr>
        <w:t xml:space="preserve">В </w:t>
      </w:r>
      <w:r w:rsidR="009C2017" w:rsidRPr="00192F81">
        <w:rPr>
          <w:color w:val="000000" w:themeColor="text1"/>
          <w:spacing w:val="2"/>
          <w:sz w:val="28"/>
          <w:szCs w:val="28"/>
        </w:rPr>
        <w:t>201</w:t>
      </w:r>
      <w:r w:rsidR="00066779" w:rsidRPr="00192F81">
        <w:rPr>
          <w:color w:val="000000" w:themeColor="text1"/>
          <w:spacing w:val="2"/>
          <w:sz w:val="28"/>
          <w:szCs w:val="28"/>
        </w:rPr>
        <w:t>7</w:t>
      </w:r>
      <w:r w:rsidR="009C2017" w:rsidRPr="00192F81">
        <w:rPr>
          <w:color w:val="000000" w:themeColor="text1"/>
          <w:spacing w:val="2"/>
          <w:sz w:val="28"/>
          <w:szCs w:val="28"/>
        </w:rPr>
        <w:t xml:space="preserve"> году</w:t>
      </w:r>
      <w:r w:rsidR="00E879E3" w:rsidRPr="00192F81">
        <w:rPr>
          <w:color w:val="000000" w:themeColor="text1"/>
          <w:spacing w:val="2"/>
          <w:sz w:val="28"/>
          <w:szCs w:val="28"/>
        </w:rPr>
        <w:t xml:space="preserve"> объем муниципального долга состави</w:t>
      </w:r>
      <w:r w:rsidR="00225770" w:rsidRPr="00192F81">
        <w:rPr>
          <w:color w:val="000000" w:themeColor="text1"/>
          <w:spacing w:val="2"/>
          <w:sz w:val="28"/>
          <w:szCs w:val="28"/>
        </w:rPr>
        <w:t>л </w:t>
      </w:r>
      <w:r w:rsidR="00032874" w:rsidRPr="00192F81">
        <w:rPr>
          <w:color w:val="000000" w:themeColor="text1"/>
          <w:spacing w:val="2"/>
          <w:sz w:val="28"/>
          <w:szCs w:val="28"/>
        </w:rPr>
        <w:t>324995,34</w:t>
      </w:r>
      <w:r w:rsidR="00E502CC" w:rsidRPr="00192F81">
        <w:rPr>
          <w:color w:val="000000" w:themeColor="text1"/>
          <w:spacing w:val="2"/>
          <w:sz w:val="28"/>
          <w:szCs w:val="28"/>
        </w:rPr>
        <w:t> </w:t>
      </w:r>
      <w:r w:rsidR="009C2017" w:rsidRPr="00192F81">
        <w:rPr>
          <w:color w:val="000000" w:themeColor="text1"/>
          <w:spacing w:val="2"/>
          <w:sz w:val="28"/>
          <w:szCs w:val="28"/>
        </w:rPr>
        <w:t>тыс. рублей или</w:t>
      </w:r>
      <w:r w:rsidR="00E879E3" w:rsidRPr="00192F81">
        <w:rPr>
          <w:color w:val="000000" w:themeColor="text1"/>
          <w:spacing w:val="2"/>
          <w:sz w:val="28"/>
          <w:szCs w:val="28"/>
        </w:rPr>
        <w:t xml:space="preserve"> </w:t>
      </w:r>
      <w:r w:rsidR="00192F81" w:rsidRPr="00192F81">
        <w:rPr>
          <w:color w:val="000000" w:themeColor="text1"/>
          <w:spacing w:val="2"/>
          <w:sz w:val="28"/>
          <w:szCs w:val="28"/>
        </w:rPr>
        <w:t>40,8</w:t>
      </w:r>
      <w:r w:rsidR="009C2017" w:rsidRPr="00192F81">
        <w:rPr>
          <w:color w:val="000000" w:themeColor="text1"/>
          <w:spacing w:val="2"/>
          <w:sz w:val="28"/>
          <w:szCs w:val="28"/>
        </w:rPr>
        <w:t xml:space="preserve"> процента </w:t>
      </w:r>
      <w:r w:rsidR="00E879E3" w:rsidRPr="00192F81">
        <w:rPr>
          <w:color w:val="000000" w:themeColor="text1"/>
          <w:spacing w:val="2"/>
          <w:sz w:val="28"/>
          <w:szCs w:val="28"/>
        </w:rPr>
        <w:t xml:space="preserve">к </w:t>
      </w:r>
      <w:r w:rsidR="009C2017" w:rsidRPr="00192F81">
        <w:rPr>
          <w:color w:val="000000" w:themeColor="text1"/>
          <w:spacing w:val="2"/>
          <w:sz w:val="28"/>
          <w:szCs w:val="28"/>
        </w:rPr>
        <w:t xml:space="preserve">общему </w:t>
      </w:r>
      <w:r w:rsidR="00E879E3" w:rsidRPr="00192F81">
        <w:rPr>
          <w:color w:val="000000" w:themeColor="text1"/>
          <w:spacing w:val="2"/>
          <w:sz w:val="28"/>
          <w:szCs w:val="28"/>
        </w:rPr>
        <w:t xml:space="preserve">объему </w:t>
      </w:r>
      <w:r w:rsidR="009C2017" w:rsidRPr="00192F81">
        <w:rPr>
          <w:color w:val="000000" w:themeColor="text1"/>
          <w:spacing w:val="2"/>
          <w:sz w:val="28"/>
          <w:szCs w:val="28"/>
        </w:rPr>
        <w:t>доходов бюджета города без учета безвозмездных поступлений за 201</w:t>
      </w:r>
      <w:r w:rsidR="00032874" w:rsidRPr="00192F81">
        <w:rPr>
          <w:color w:val="000000" w:themeColor="text1"/>
          <w:spacing w:val="2"/>
          <w:sz w:val="28"/>
          <w:szCs w:val="28"/>
        </w:rPr>
        <w:t>7</w:t>
      </w:r>
      <w:r w:rsidR="009C2017" w:rsidRPr="00192F81">
        <w:rPr>
          <w:color w:val="000000" w:themeColor="text1"/>
          <w:spacing w:val="2"/>
          <w:sz w:val="28"/>
          <w:szCs w:val="28"/>
        </w:rPr>
        <w:t xml:space="preserve"> год</w:t>
      </w:r>
      <w:r w:rsidR="009C2017" w:rsidRPr="003F0751">
        <w:rPr>
          <w:color w:val="000000" w:themeColor="text1"/>
          <w:spacing w:val="2"/>
          <w:sz w:val="28"/>
          <w:szCs w:val="28"/>
        </w:rPr>
        <w:t>.</w:t>
      </w:r>
      <w:r w:rsidR="001C0C58" w:rsidRPr="003F0751">
        <w:rPr>
          <w:color w:val="000000" w:themeColor="text1"/>
          <w:spacing w:val="2"/>
          <w:sz w:val="28"/>
          <w:szCs w:val="28"/>
        </w:rPr>
        <w:t xml:space="preserve"> </w:t>
      </w:r>
      <w:r w:rsidR="009C2017" w:rsidRPr="003F0751">
        <w:rPr>
          <w:sz w:val="28"/>
          <w:szCs w:val="28"/>
        </w:rPr>
        <w:t xml:space="preserve">В результате проведения мероприятий </w:t>
      </w:r>
      <w:r w:rsidR="004E1D86" w:rsidRPr="003F0751">
        <w:rPr>
          <w:sz w:val="28"/>
          <w:szCs w:val="28"/>
        </w:rPr>
        <w:t>по сокращению муниципального долга</w:t>
      </w:r>
      <w:r w:rsidR="00225770" w:rsidRPr="003F0751">
        <w:rPr>
          <w:sz w:val="28"/>
          <w:szCs w:val="28"/>
        </w:rPr>
        <w:t xml:space="preserve"> </w:t>
      </w:r>
      <w:r w:rsidR="009C2017" w:rsidRPr="003F0751">
        <w:rPr>
          <w:sz w:val="28"/>
          <w:szCs w:val="28"/>
        </w:rPr>
        <w:t xml:space="preserve">в </w:t>
      </w:r>
      <w:r w:rsidR="002E33EB">
        <w:rPr>
          <w:sz w:val="28"/>
          <w:szCs w:val="28"/>
        </w:rPr>
        <w:t>2</w:t>
      </w:r>
      <w:r w:rsidR="004E1D86" w:rsidRPr="003F0751">
        <w:rPr>
          <w:sz w:val="28"/>
          <w:szCs w:val="28"/>
        </w:rPr>
        <w:t>018 год</w:t>
      </w:r>
      <w:r w:rsidR="002E33EB">
        <w:rPr>
          <w:sz w:val="28"/>
          <w:szCs w:val="28"/>
        </w:rPr>
        <w:t>у</w:t>
      </w:r>
      <w:r w:rsidR="004E1D86" w:rsidRPr="003F0751">
        <w:rPr>
          <w:sz w:val="28"/>
          <w:szCs w:val="28"/>
        </w:rPr>
        <w:t xml:space="preserve"> его объем по состоянию на 01 января 2019 года сни</w:t>
      </w:r>
      <w:r w:rsidR="00BD7E90">
        <w:rPr>
          <w:sz w:val="28"/>
          <w:szCs w:val="28"/>
        </w:rPr>
        <w:t>зился на 14962,53 тыс. рублей и </w:t>
      </w:r>
      <w:r w:rsidR="004E1D86" w:rsidRPr="003F0751">
        <w:rPr>
          <w:sz w:val="28"/>
          <w:szCs w:val="28"/>
        </w:rPr>
        <w:t>сос</w:t>
      </w:r>
      <w:r w:rsidR="00225770" w:rsidRPr="003F0751">
        <w:rPr>
          <w:sz w:val="28"/>
          <w:szCs w:val="28"/>
        </w:rPr>
        <w:t xml:space="preserve">тавил </w:t>
      </w:r>
      <w:r w:rsidR="00BD7E90">
        <w:rPr>
          <w:sz w:val="28"/>
          <w:szCs w:val="28"/>
        </w:rPr>
        <w:t> </w:t>
      </w:r>
      <w:r w:rsidR="00225770" w:rsidRPr="003F0751">
        <w:rPr>
          <w:sz w:val="28"/>
          <w:szCs w:val="28"/>
        </w:rPr>
        <w:t>310032,81 тыс. рублей или 35,1 </w:t>
      </w:r>
      <w:r w:rsidR="001C0C58" w:rsidRPr="003F0751">
        <w:rPr>
          <w:sz w:val="28"/>
          <w:szCs w:val="28"/>
        </w:rPr>
        <w:t xml:space="preserve">процента к </w:t>
      </w:r>
      <w:r w:rsidR="001C0C58" w:rsidRPr="003F0751">
        <w:rPr>
          <w:color w:val="000000" w:themeColor="text1"/>
          <w:spacing w:val="2"/>
          <w:sz w:val="28"/>
          <w:szCs w:val="28"/>
        </w:rPr>
        <w:t>общему объему доходов бюджета города без учета безвозмездных поступлений за 2018 год.</w:t>
      </w:r>
      <w:r w:rsidR="003F0751" w:rsidRPr="003F0751">
        <w:rPr>
          <w:color w:val="000000" w:themeColor="text1"/>
          <w:spacing w:val="2"/>
          <w:sz w:val="28"/>
          <w:szCs w:val="28"/>
        </w:rPr>
        <w:t xml:space="preserve"> В 2019 году муниципальный долг сложился в сумме 339 999,81 тыс. рублей или 35,7 </w:t>
      </w:r>
      <w:r w:rsidR="003F0751" w:rsidRPr="00192F81">
        <w:rPr>
          <w:color w:val="000000" w:themeColor="text1"/>
          <w:spacing w:val="2"/>
          <w:sz w:val="28"/>
          <w:szCs w:val="28"/>
        </w:rPr>
        <w:t>процента к общему объему доходов бюджета города без учета безвозмездных поступлений за 201</w:t>
      </w:r>
      <w:r w:rsidR="003F0751">
        <w:rPr>
          <w:color w:val="000000" w:themeColor="text1"/>
          <w:spacing w:val="2"/>
          <w:sz w:val="28"/>
          <w:szCs w:val="28"/>
        </w:rPr>
        <w:t>9</w:t>
      </w:r>
      <w:r w:rsidR="003F0751" w:rsidRPr="00192F81">
        <w:rPr>
          <w:color w:val="000000" w:themeColor="text1"/>
          <w:spacing w:val="2"/>
          <w:sz w:val="28"/>
          <w:szCs w:val="28"/>
        </w:rPr>
        <w:t xml:space="preserve"> год</w:t>
      </w:r>
      <w:r w:rsidR="003F0751">
        <w:rPr>
          <w:color w:val="000000" w:themeColor="text1"/>
          <w:spacing w:val="2"/>
          <w:sz w:val="28"/>
          <w:szCs w:val="28"/>
        </w:rPr>
        <w:t>.</w:t>
      </w:r>
    </w:p>
    <w:p w:rsidR="00976D93" w:rsidRPr="00150BEB" w:rsidRDefault="003D413A" w:rsidP="00A516DA">
      <w:pPr>
        <w:ind w:firstLine="709"/>
        <w:jc w:val="both"/>
        <w:rPr>
          <w:sz w:val="28"/>
          <w:szCs w:val="28"/>
        </w:rPr>
      </w:pPr>
      <w:r w:rsidRPr="00150BEB">
        <w:rPr>
          <w:sz w:val="28"/>
          <w:szCs w:val="28"/>
        </w:rPr>
        <w:t>По состоянию на 01 января 202</w:t>
      </w:r>
      <w:r w:rsidR="00192F81" w:rsidRPr="00150BEB">
        <w:rPr>
          <w:sz w:val="28"/>
          <w:szCs w:val="28"/>
        </w:rPr>
        <w:t>1</w:t>
      </w:r>
      <w:r w:rsidRPr="00150BEB">
        <w:rPr>
          <w:sz w:val="28"/>
          <w:szCs w:val="28"/>
        </w:rPr>
        <w:t xml:space="preserve"> года</w:t>
      </w:r>
      <w:r w:rsidR="00963825" w:rsidRPr="00150BEB">
        <w:rPr>
          <w:sz w:val="28"/>
          <w:szCs w:val="28"/>
        </w:rPr>
        <w:t xml:space="preserve"> </w:t>
      </w:r>
      <w:r w:rsidR="008A692F" w:rsidRPr="00150BEB">
        <w:rPr>
          <w:sz w:val="28"/>
          <w:szCs w:val="28"/>
        </w:rPr>
        <w:t>муниципальный</w:t>
      </w:r>
      <w:r w:rsidR="00976D93" w:rsidRPr="00150BEB">
        <w:rPr>
          <w:sz w:val="28"/>
          <w:szCs w:val="28"/>
        </w:rPr>
        <w:t xml:space="preserve"> </w:t>
      </w:r>
      <w:r w:rsidR="0015618B" w:rsidRPr="00150BEB">
        <w:rPr>
          <w:sz w:val="28"/>
          <w:szCs w:val="28"/>
        </w:rPr>
        <w:t>долг составит</w:t>
      </w:r>
      <w:r w:rsidR="00E502CC" w:rsidRPr="00150BEB">
        <w:rPr>
          <w:sz w:val="28"/>
          <w:szCs w:val="28"/>
        </w:rPr>
        <w:t> </w:t>
      </w:r>
      <w:r w:rsidR="0044125C" w:rsidRPr="00150BEB">
        <w:rPr>
          <w:sz w:val="28"/>
          <w:szCs w:val="28"/>
        </w:rPr>
        <w:t>404207,03</w:t>
      </w:r>
      <w:r w:rsidR="0002710E" w:rsidRPr="00150BEB">
        <w:rPr>
          <w:sz w:val="28"/>
          <w:szCs w:val="28"/>
        </w:rPr>
        <w:t xml:space="preserve"> </w:t>
      </w:r>
      <w:r w:rsidR="00C9736F" w:rsidRPr="00150BEB">
        <w:rPr>
          <w:sz w:val="28"/>
          <w:szCs w:val="28"/>
        </w:rPr>
        <w:t xml:space="preserve">тыс. рублей </w:t>
      </w:r>
      <w:r w:rsidR="00976D93" w:rsidRPr="00150BEB">
        <w:rPr>
          <w:sz w:val="28"/>
          <w:szCs w:val="28"/>
        </w:rPr>
        <w:t xml:space="preserve">или </w:t>
      </w:r>
      <w:r w:rsidR="0015618B" w:rsidRPr="00150BEB">
        <w:rPr>
          <w:sz w:val="28"/>
          <w:szCs w:val="28"/>
        </w:rPr>
        <w:t>43,8</w:t>
      </w:r>
      <w:r w:rsidR="00976D93" w:rsidRPr="00150BEB">
        <w:rPr>
          <w:sz w:val="28"/>
          <w:szCs w:val="28"/>
        </w:rPr>
        <w:t xml:space="preserve"> процента </w:t>
      </w:r>
      <w:r w:rsidR="00F12B14" w:rsidRPr="00150BEB">
        <w:rPr>
          <w:color w:val="000000" w:themeColor="text1"/>
          <w:spacing w:val="2"/>
          <w:sz w:val="28"/>
          <w:szCs w:val="28"/>
        </w:rPr>
        <w:t xml:space="preserve">к </w:t>
      </w:r>
      <w:r w:rsidR="00E502CC" w:rsidRPr="00150BEB">
        <w:rPr>
          <w:color w:val="000000" w:themeColor="text1"/>
          <w:spacing w:val="2"/>
          <w:sz w:val="28"/>
          <w:szCs w:val="28"/>
        </w:rPr>
        <w:t xml:space="preserve">утвержденному </w:t>
      </w:r>
      <w:r w:rsidR="00E502CC" w:rsidRPr="00150BEB">
        <w:rPr>
          <w:color w:val="000000" w:themeColor="text1"/>
          <w:spacing w:val="2"/>
          <w:sz w:val="28"/>
          <w:szCs w:val="28"/>
        </w:rPr>
        <w:lastRenderedPageBreak/>
        <w:t>на 20</w:t>
      </w:r>
      <w:r w:rsidR="00192F81" w:rsidRPr="00150BEB">
        <w:rPr>
          <w:color w:val="000000" w:themeColor="text1"/>
          <w:spacing w:val="2"/>
          <w:sz w:val="28"/>
          <w:szCs w:val="28"/>
        </w:rPr>
        <w:t>20</w:t>
      </w:r>
      <w:r w:rsidR="00E502CC" w:rsidRPr="00150BEB">
        <w:rPr>
          <w:color w:val="000000" w:themeColor="text1"/>
          <w:spacing w:val="2"/>
          <w:sz w:val="28"/>
          <w:szCs w:val="28"/>
        </w:rPr>
        <w:t> </w:t>
      </w:r>
      <w:r w:rsidRPr="00150BEB">
        <w:rPr>
          <w:color w:val="000000" w:themeColor="text1"/>
          <w:spacing w:val="2"/>
          <w:sz w:val="28"/>
          <w:szCs w:val="28"/>
        </w:rPr>
        <w:t xml:space="preserve">год </w:t>
      </w:r>
      <w:r w:rsidR="00F12B14" w:rsidRPr="00150BEB">
        <w:rPr>
          <w:color w:val="000000" w:themeColor="text1"/>
          <w:spacing w:val="2"/>
          <w:sz w:val="28"/>
          <w:szCs w:val="28"/>
        </w:rPr>
        <w:t>общему объему доходов бюджета города без учета безвозмездных поступлений</w:t>
      </w:r>
      <w:r w:rsidR="00976D93" w:rsidRPr="00150BEB">
        <w:rPr>
          <w:sz w:val="28"/>
          <w:szCs w:val="28"/>
        </w:rPr>
        <w:t>.</w:t>
      </w:r>
    </w:p>
    <w:p w:rsidR="00976D93" w:rsidRPr="00AF0CA0" w:rsidRDefault="00AF0CA0" w:rsidP="00A516DA">
      <w:pPr>
        <w:ind w:firstLine="709"/>
        <w:jc w:val="both"/>
        <w:rPr>
          <w:sz w:val="28"/>
          <w:szCs w:val="28"/>
        </w:rPr>
      </w:pPr>
      <w:r w:rsidRPr="00AF0CA0">
        <w:rPr>
          <w:sz w:val="28"/>
          <w:szCs w:val="28"/>
        </w:rPr>
        <w:t>Объем и структура</w:t>
      </w:r>
      <w:r w:rsidR="00976D93" w:rsidRPr="00AF0CA0">
        <w:rPr>
          <w:sz w:val="28"/>
          <w:szCs w:val="28"/>
        </w:rPr>
        <w:t xml:space="preserve"> </w:t>
      </w:r>
      <w:r w:rsidR="008B306E" w:rsidRPr="00AF0CA0">
        <w:rPr>
          <w:sz w:val="28"/>
          <w:szCs w:val="28"/>
        </w:rPr>
        <w:t>муниципального</w:t>
      </w:r>
      <w:r w:rsidR="00976D93" w:rsidRPr="00AF0CA0">
        <w:rPr>
          <w:sz w:val="28"/>
          <w:szCs w:val="28"/>
        </w:rPr>
        <w:t xml:space="preserve"> долга </w:t>
      </w:r>
      <w:r w:rsidR="00F12B14" w:rsidRPr="00AF0CA0">
        <w:rPr>
          <w:sz w:val="28"/>
          <w:szCs w:val="28"/>
        </w:rPr>
        <w:t>в</w:t>
      </w:r>
      <w:r w:rsidR="00976D93" w:rsidRPr="00AF0CA0">
        <w:rPr>
          <w:sz w:val="28"/>
          <w:szCs w:val="28"/>
        </w:rPr>
        <w:t xml:space="preserve"> 201</w:t>
      </w:r>
      <w:r w:rsidRPr="00AF0CA0">
        <w:rPr>
          <w:sz w:val="28"/>
          <w:szCs w:val="28"/>
        </w:rPr>
        <w:t>7</w:t>
      </w:r>
      <w:r w:rsidR="003D413A" w:rsidRPr="00AF0CA0">
        <w:rPr>
          <w:sz w:val="28"/>
          <w:szCs w:val="28"/>
        </w:rPr>
        <w:t xml:space="preserve"> </w:t>
      </w:r>
      <w:r w:rsidR="00976D93" w:rsidRPr="00AF0CA0">
        <w:rPr>
          <w:sz w:val="28"/>
          <w:szCs w:val="28"/>
        </w:rPr>
        <w:t>-</w:t>
      </w:r>
      <w:r w:rsidR="003D413A" w:rsidRPr="00AF0CA0">
        <w:rPr>
          <w:sz w:val="28"/>
          <w:szCs w:val="28"/>
        </w:rPr>
        <w:t xml:space="preserve"> </w:t>
      </w:r>
      <w:r w:rsidR="0006403C" w:rsidRPr="00AF0CA0">
        <w:rPr>
          <w:sz w:val="28"/>
          <w:szCs w:val="28"/>
        </w:rPr>
        <w:t>20</w:t>
      </w:r>
      <w:r w:rsidRPr="00AF0CA0">
        <w:rPr>
          <w:sz w:val="28"/>
          <w:szCs w:val="28"/>
        </w:rPr>
        <w:t>20</w:t>
      </w:r>
      <w:r w:rsidR="0006403C" w:rsidRPr="00AF0CA0">
        <w:rPr>
          <w:sz w:val="28"/>
          <w:szCs w:val="28"/>
        </w:rPr>
        <w:t> </w:t>
      </w:r>
      <w:r w:rsidR="00F12B14" w:rsidRPr="00AF0CA0">
        <w:rPr>
          <w:sz w:val="28"/>
          <w:szCs w:val="28"/>
        </w:rPr>
        <w:t>годах</w:t>
      </w:r>
      <w:r w:rsidR="00976D93" w:rsidRPr="00AF0CA0">
        <w:rPr>
          <w:sz w:val="28"/>
          <w:szCs w:val="28"/>
        </w:rPr>
        <w:t xml:space="preserve"> </w:t>
      </w:r>
      <w:proofErr w:type="gramStart"/>
      <w:r w:rsidR="00976D93" w:rsidRPr="00AF0CA0">
        <w:rPr>
          <w:sz w:val="28"/>
          <w:szCs w:val="28"/>
        </w:rPr>
        <w:t>приведен</w:t>
      </w:r>
      <w:r w:rsidRPr="00AF0CA0">
        <w:rPr>
          <w:sz w:val="28"/>
          <w:szCs w:val="28"/>
        </w:rPr>
        <w:t>ы</w:t>
      </w:r>
      <w:proofErr w:type="gramEnd"/>
      <w:r w:rsidR="00976D93" w:rsidRPr="00AF0CA0">
        <w:rPr>
          <w:sz w:val="28"/>
          <w:szCs w:val="28"/>
        </w:rPr>
        <w:t xml:space="preserve"> в таблице 1.</w:t>
      </w:r>
    </w:p>
    <w:p w:rsidR="00150BEB" w:rsidRDefault="00150BEB" w:rsidP="00A516DA">
      <w:pPr>
        <w:ind w:firstLine="709"/>
        <w:jc w:val="right"/>
        <w:rPr>
          <w:sz w:val="28"/>
          <w:szCs w:val="28"/>
        </w:rPr>
      </w:pPr>
    </w:p>
    <w:p w:rsidR="008B306E" w:rsidRPr="00AF0CA0" w:rsidRDefault="008B306E" w:rsidP="00A516DA">
      <w:pPr>
        <w:ind w:firstLine="709"/>
        <w:jc w:val="right"/>
        <w:rPr>
          <w:sz w:val="28"/>
          <w:szCs w:val="28"/>
        </w:rPr>
      </w:pPr>
      <w:r w:rsidRPr="00AF0CA0">
        <w:rPr>
          <w:sz w:val="28"/>
          <w:szCs w:val="28"/>
        </w:rPr>
        <w:t>Таблица 1</w:t>
      </w:r>
    </w:p>
    <w:p w:rsidR="00976D93" w:rsidRPr="00AF0CA0" w:rsidRDefault="00AF0CA0" w:rsidP="00A516DA">
      <w:pPr>
        <w:jc w:val="center"/>
        <w:rPr>
          <w:sz w:val="28"/>
          <w:szCs w:val="28"/>
        </w:rPr>
      </w:pPr>
      <w:r w:rsidRPr="00AF0CA0">
        <w:rPr>
          <w:sz w:val="28"/>
          <w:szCs w:val="28"/>
        </w:rPr>
        <w:t>ОБЪЕМ И СТРУКТУРА</w:t>
      </w:r>
    </w:p>
    <w:p w:rsidR="00C65284" w:rsidRPr="00AF0CA0" w:rsidRDefault="00C65284" w:rsidP="00A516DA">
      <w:pPr>
        <w:pStyle w:val="Tablecaption0"/>
        <w:shd w:val="clear" w:color="auto" w:fill="auto"/>
        <w:spacing w:line="240" w:lineRule="auto"/>
        <w:jc w:val="center"/>
      </w:pPr>
      <w:r w:rsidRPr="00AF0CA0">
        <w:t xml:space="preserve">муниципального долга </w:t>
      </w:r>
      <w:r w:rsidR="00F12B14" w:rsidRPr="00AF0CA0">
        <w:t>в</w:t>
      </w:r>
      <w:r w:rsidRPr="00AF0CA0">
        <w:t xml:space="preserve"> 201</w:t>
      </w:r>
      <w:r w:rsidR="00AF0CA0" w:rsidRPr="00AF0CA0">
        <w:t>7</w:t>
      </w:r>
      <w:r w:rsidR="003D413A" w:rsidRPr="00AF0CA0">
        <w:t xml:space="preserve"> </w:t>
      </w:r>
      <w:r w:rsidRPr="00AF0CA0">
        <w:t>-</w:t>
      </w:r>
      <w:r w:rsidR="003D413A" w:rsidRPr="00AF0CA0">
        <w:t xml:space="preserve"> </w:t>
      </w:r>
      <w:r w:rsidRPr="00AF0CA0">
        <w:t>20</w:t>
      </w:r>
      <w:r w:rsidR="00AF0CA0" w:rsidRPr="00AF0CA0">
        <w:t>20</w:t>
      </w:r>
      <w:r w:rsidR="00F12B14" w:rsidRPr="00AF0CA0">
        <w:t xml:space="preserve"> годах</w:t>
      </w:r>
    </w:p>
    <w:p w:rsidR="00C65284" w:rsidRPr="00A75A1F" w:rsidRDefault="00C65284" w:rsidP="00A516DA">
      <w:pPr>
        <w:pStyle w:val="Tablecaption0"/>
        <w:shd w:val="clear" w:color="auto" w:fill="auto"/>
        <w:spacing w:line="240" w:lineRule="auto"/>
        <w:ind w:firstLine="709"/>
        <w:jc w:val="center"/>
        <w:rPr>
          <w:highlight w:val="yellow"/>
        </w:rPr>
      </w:pP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412"/>
        <w:gridCol w:w="2144"/>
        <w:gridCol w:w="896"/>
        <w:gridCol w:w="804"/>
        <w:gridCol w:w="896"/>
        <w:gridCol w:w="804"/>
        <w:gridCol w:w="896"/>
        <w:gridCol w:w="804"/>
        <w:gridCol w:w="896"/>
        <w:gridCol w:w="804"/>
      </w:tblGrid>
      <w:tr w:rsidR="00E502CC" w:rsidRPr="00A75A1F" w:rsidTr="00225770">
        <w:tc>
          <w:tcPr>
            <w:tcW w:w="0" w:type="auto"/>
            <w:vMerge w:val="restart"/>
            <w:textDirection w:val="btLr"/>
            <w:vAlign w:val="center"/>
          </w:tcPr>
          <w:p w:rsidR="00745E82" w:rsidRPr="00A75A1F" w:rsidRDefault="00745E82" w:rsidP="00A516DA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331BF2">
              <w:rPr>
                <w:sz w:val="16"/>
                <w:szCs w:val="16"/>
              </w:rPr>
              <w:t xml:space="preserve">№ </w:t>
            </w:r>
            <w:proofErr w:type="gramStart"/>
            <w:r w:rsidRPr="00331BF2">
              <w:rPr>
                <w:sz w:val="16"/>
                <w:szCs w:val="16"/>
              </w:rPr>
              <w:t>п</w:t>
            </w:r>
            <w:proofErr w:type="gramEnd"/>
            <w:r w:rsidRPr="00331BF2">
              <w:rPr>
                <w:sz w:val="16"/>
                <w:szCs w:val="16"/>
              </w:rPr>
              <w:t>/п</w:t>
            </w:r>
          </w:p>
        </w:tc>
        <w:tc>
          <w:tcPr>
            <w:tcW w:w="2146" w:type="dxa"/>
            <w:vMerge w:val="restart"/>
            <w:textDirection w:val="btLr"/>
            <w:vAlign w:val="center"/>
          </w:tcPr>
          <w:p w:rsidR="00745E82" w:rsidRPr="00331BF2" w:rsidRDefault="00745E82" w:rsidP="00A516DA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45E82" w:rsidRPr="00331BF2" w:rsidRDefault="00745E82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201</w:t>
            </w:r>
            <w:r w:rsidR="00AF0CA0" w:rsidRPr="00331BF2">
              <w:rPr>
                <w:sz w:val="16"/>
                <w:szCs w:val="16"/>
              </w:rPr>
              <w:t>7</w:t>
            </w:r>
            <w:r w:rsidRPr="00331BF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745E82" w:rsidRPr="00331BF2" w:rsidRDefault="00745E82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201</w:t>
            </w:r>
            <w:r w:rsidR="00AF0CA0" w:rsidRPr="00331BF2">
              <w:rPr>
                <w:sz w:val="16"/>
                <w:szCs w:val="16"/>
              </w:rPr>
              <w:t>8</w:t>
            </w:r>
            <w:r w:rsidRPr="00331BF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745E82" w:rsidRPr="00331BF2" w:rsidRDefault="00745E82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201</w:t>
            </w:r>
            <w:r w:rsidR="00AF0CA0" w:rsidRPr="00331BF2">
              <w:rPr>
                <w:sz w:val="16"/>
                <w:szCs w:val="16"/>
              </w:rPr>
              <w:t>9</w:t>
            </w:r>
            <w:r w:rsidRPr="00331BF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745E82" w:rsidRPr="00331BF2" w:rsidRDefault="00745E82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20</w:t>
            </w:r>
            <w:r w:rsidR="00AF0CA0" w:rsidRPr="00331BF2">
              <w:rPr>
                <w:sz w:val="16"/>
                <w:szCs w:val="16"/>
              </w:rPr>
              <w:t>20</w:t>
            </w:r>
            <w:r w:rsidRPr="00331BF2">
              <w:rPr>
                <w:sz w:val="16"/>
                <w:szCs w:val="16"/>
              </w:rPr>
              <w:t xml:space="preserve"> год</w:t>
            </w:r>
          </w:p>
        </w:tc>
      </w:tr>
      <w:tr w:rsidR="00225770" w:rsidRPr="00A75A1F" w:rsidTr="00225770">
        <w:trPr>
          <w:cantSplit/>
          <w:trHeight w:val="2092"/>
        </w:trPr>
        <w:tc>
          <w:tcPr>
            <w:tcW w:w="0" w:type="auto"/>
            <w:vMerge/>
          </w:tcPr>
          <w:p w:rsidR="00B31909" w:rsidRPr="00A75A1F" w:rsidRDefault="00B31909" w:rsidP="00A516DA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46" w:type="dxa"/>
            <w:vMerge/>
          </w:tcPr>
          <w:p w:rsidR="00B31909" w:rsidRPr="00331BF2" w:rsidRDefault="00B31909" w:rsidP="00A516DA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extDirection w:val="btLr"/>
            <w:vAlign w:val="center"/>
          </w:tcPr>
          <w:p w:rsidR="00B31909" w:rsidRPr="00331BF2" w:rsidRDefault="00B31909" w:rsidP="00A516DA">
            <w:pPr>
              <w:jc w:val="center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Сумма</w:t>
            </w:r>
          </w:p>
          <w:p w:rsidR="00B31909" w:rsidRPr="00331BF2" w:rsidRDefault="00B31909" w:rsidP="00A516DA">
            <w:pPr>
              <w:jc w:val="center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(тыс.</w:t>
            </w:r>
            <w:r w:rsidR="000066AA" w:rsidRPr="00331BF2">
              <w:rPr>
                <w:rStyle w:val="Bodytext20"/>
                <w:sz w:val="16"/>
                <w:szCs w:val="16"/>
              </w:rPr>
              <w:t xml:space="preserve"> </w:t>
            </w:r>
            <w:r w:rsidRPr="00331BF2">
              <w:rPr>
                <w:rStyle w:val="Bodytext20"/>
                <w:sz w:val="16"/>
                <w:szCs w:val="16"/>
              </w:rPr>
              <w:t>рублей)</w:t>
            </w:r>
          </w:p>
        </w:tc>
        <w:tc>
          <w:tcPr>
            <w:tcW w:w="805" w:type="dxa"/>
            <w:textDirection w:val="btLr"/>
            <w:vAlign w:val="center"/>
          </w:tcPr>
          <w:p w:rsidR="00E502CC" w:rsidRPr="00331BF2" w:rsidRDefault="00B31909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Удельный вес в объеме муниципального долга</w:t>
            </w:r>
          </w:p>
          <w:p w:rsidR="00B31909" w:rsidRPr="00331BF2" w:rsidRDefault="00B31909" w:rsidP="00A516DA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331BF2">
              <w:rPr>
                <w:rStyle w:val="Bodytext20"/>
                <w:sz w:val="16"/>
                <w:szCs w:val="16"/>
              </w:rPr>
              <w:t>(процентов)</w:t>
            </w:r>
          </w:p>
        </w:tc>
        <w:tc>
          <w:tcPr>
            <w:tcW w:w="896" w:type="dxa"/>
            <w:textDirection w:val="btLr"/>
            <w:vAlign w:val="center"/>
          </w:tcPr>
          <w:p w:rsidR="00B31909" w:rsidRPr="00331BF2" w:rsidRDefault="00B31909" w:rsidP="00A516DA">
            <w:pPr>
              <w:jc w:val="center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Сумма</w:t>
            </w:r>
          </w:p>
          <w:p w:rsidR="00B31909" w:rsidRPr="00331BF2" w:rsidRDefault="00B31909" w:rsidP="00A516DA">
            <w:pPr>
              <w:jc w:val="center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(тыс.</w:t>
            </w:r>
            <w:r w:rsidR="000066AA" w:rsidRPr="00331BF2">
              <w:rPr>
                <w:rStyle w:val="Bodytext20"/>
                <w:sz w:val="16"/>
                <w:szCs w:val="16"/>
              </w:rPr>
              <w:t xml:space="preserve"> </w:t>
            </w:r>
            <w:r w:rsidRPr="00331BF2">
              <w:rPr>
                <w:rStyle w:val="Bodytext20"/>
                <w:sz w:val="16"/>
                <w:szCs w:val="16"/>
              </w:rPr>
              <w:t>рублей)</w:t>
            </w:r>
          </w:p>
        </w:tc>
        <w:tc>
          <w:tcPr>
            <w:tcW w:w="805" w:type="dxa"/>
            <w:textDirection w:val="btLr"/>
            <w:vAlign w:val="center"/>
          </w:tcPr>
          <w:p w:rsidR="00E502CC" w:rsidRPr="00331BF2" w:rsidRDefault="00B31909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Удельный вес в объеме муниципального долга</w:t>
            </w:r>
          </w:p>
          <w:p w:rsidR="00B31909" w:rsidRPr="00331BF2" w:rsidRDefault="00B31909" w:rsidP="00A516DA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331BF2">
              <w:rPr>
                <w:rStyle w:val="Bodytext20"/>
                <w:sz w:val="16"/>
                <w:szCs w:val="16"/>
              </w:rPr>
              <w:t>(процентов)</w:t>
            </w:r>
          </w:p>
        </w:tc>
        <w:tc>
          <w:tcPr>
            <w:tcW w:w="896" w:type="dxa"/>
            <w:textDirection w:val="btLr"/>
            <w:vAlign w:val="center"/>
          </w:tcPr>
          <w:p w:rsidR="00B31909" w:rsidRPr="00331BF2" w:rsidRDefault="00B31909" w:rsidP="00A516DA">
            <w:pPr>
              <w:jc w:val="center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Сумма</w:t>
            </w:r>
          </w:p>
          <w:p w:rsidR="00B31909" w:rsidRPr="00331BF2" w:rsidRDefault="00B31909" w:rsidP="00A516DA">
            <w:pPr>
              <w:jc w:val="center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(тыс.</w:t>
            </w:r>
            <w:r w:rsidR="00E502CC" w:rsidRPr="00331BF2">
              <w:rPr>
                <w:rStyle w:val="Bodytext20"/>
                <w:sz w:val="16"/>
                <w:szCs w:val="16"/>
              </w:rPr>
              <w:t xml:space="preserve"> </w:t>
            </w:r>
            <w:r w:rsidRPr="00331BF2">
              <w:rPr>
                <w:rStyle w:val="Bodytext20"/>
                <w:sz w:val="16"/>
                <w:szCs w:val="16"/>
              </w:rPr>
              <w:t>рублей)</w:t>
            </w:r>
          </w:p>
        </w:tc>
        <w:tc>
          <w:tcPr>
            <w:tcW w:w="805" w:type="dxa"/>
            <w:textDirection w:val="btLr"/>
            <w:vAlign w:val="center"/>
          </w:tcPr>
          <w:p w:rsidR="00E502CC" w:rsidRPr="00331BF2" w:rsidRDefault="00B31909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Удельный вес в объеме муниципального долга</w:t>
            </w:r>
          </w:p>
          <w:p w:rsidR="00B31909" w:rsidRPr="00331BF2" w:rsidRDefault="00B31909" w:rsidP="00A516DA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331BF2">
              <w:rPr>
                <w:rStyle w:val="Bodytext20"/>
                <w:sz w:val="16"/>
                <w:szCs w:val="16"/>
              </w:rPr>
              <w:t>(процентов)</w:t>
            </w:r>
          </w:p>
        </w:tc>
        <w:tc>
          <w:tcPr>
            <w:tcW w:w="896" w:type="dxa"/>
            <w:textDirection w:val="btLr"/>
            <w:vAlign w:val="center"/>
          </w:tcPr>
          <w:p w:rsidR="00B31909" w:rsidRPr="00331BF2" w:rsidRDefault="00B31909" w:rsidP="00A516DA">
            <w:pPr>
              <w:jc w:val="center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Сумма</w:t>
            </w:r>
          </w:p>
          <w:p w:rsidR="00B31909" w:rsidRPr="00331BF2" w:rsidRDefault="00B31909" w:rsidP="00A516DA">
            <w:pPr>
              <w:jc w:val="center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(тыс.</w:t>
            </w:r>
            <w:r w:rsidR="000066AA" w:rsidRPr="00331BF2">
              <w:rPr>
                <w:rStyle w:val="Bodytext20"/>
                <w:sz w:val="16"/>
                <w:szCs w:val="16"/>
              </w:rPr>
              <w:t xml:space="preserve"> </w:t>
            </w:r>
            <w:r w:rsidRPr="00331BF2">
              <w:rPr>
                <w:rStyle w:val="Bodytext20"/>
                <w:sz w:val="16"/>
                <w:szCs w:val="16"/>
              </w:rPr>
              <w:t>рублей)</w:t>
            </w:r>
          </w:p>
        </w:tc>
        <w:tc>
          <w:tcPr>
            <w:tcW w:w="805" w:type="dxa"/>
            <w:textDirection w:val="btLr"/>
            <w:vAlign w:val="center"/>
          </w:tcPr>
          <w:p w:rsidR="00E502CC" w:rsidRPr="00331BF2" w:rsidRDefault="00B31909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Удельный вес в объеме муниципального долга</w:t>
            </w:r>
          </w:p>
          <w:p w:rsidR="00B31909" w:rsidRPr="00331BF2" w:rsidRDefault="00B31909" w:rsidP="00A516DA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331BF2">
              <w:rPr>
                <w:rStyle w:val="Bodytext20"/>
                <w:sz w:val="16"/>
                <w:szCs w:val="16"/>
              </w:rPr>
              <w:t>(процентов)</w:t>
            </w:r>
          </w:p>
        </w:tc>
      </w:tr>
      <w:tr w:rsidR="00225770" w:rsidRPr="00A75A1F" w:rsidTr="00225770">
        <w:trPr>
          <w:cantSplit/>
          <w:trHeight w:val="147"/>
        </w:trPr>
        <w:tc>
          <w:tcPr>
            <w:tcW w:w="0" w:type="auto"/>
            <w:vAlign w:val="center"/>
          </w:tcPr>
          <w:p w:rsidR="00225770" w:rsidRPr="00331BF2" w:rsidRDefault="00225770" w:rsidP="00A516DA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1</w:t>
            </w:r>
          </w:p>
        </w:tc>
        <w:tc>
          <w:tcPr>
            <w:tcW w:w="2146" w:type="dxa"/>
            <w:vAlign w:val="center"/>
          </w:tcPr>
          <w:p w:rsidR="00225770" w:rsidRPr="00331BF2" w:rsidRDefault="00225770" w:rsidP="00A516DA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vAlign w:val="center"/>
          </w:tcPr>
          <w:p w:rsidR="00225770" w:rsidRPr="00331BF2" w:rsidRDefault="00225770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3</w:t>
            </w:r>
          </w:p>
        </w:tc>
        <w:tc>
          <w:tcPr>
            <w:tcW w:w="805" w:type="dxa"/>
            <w:vAlign w:val="center"/>
          </w:tcPr>
          <w:p w:rsidR="00225770" w:rsidRPr="00331BF2" w:rsidRDefault="00225770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4</w:t>
            </w:r>
          </w:p>
        </w:tc>
        <w:tc>
          <w:tcPr>
            <w:tcW w:w="896" w:type="dxa"/>
            <w:vAlign w:val="center"/>
          </w:tcPr>
          <w:p w:rsidR="00225770" w:rsidRPr="00331BF2" w:rsidRDefault="00225770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5</w:t>
            </w:r>
          </w:p>
        </w:tc>
        <w:tc>
          <w:tcPr>
            <w:tcW w:w="805" w:type="dxa"/>
            <w:vAlign w:val="center"/>
          </w:tcPr>
          <w:p w:rsidR="00225770" w:rsidRPr="00331BF2" w:rsidRDefault="00225770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6</w:t>
            </w:r>
          </w:p>
        </w:tc>
        <w:tc>
          <w:tcPr>
            <w:tcW w:w="896" w:type="dxa"/>
            <w:vAlign w:val="center"/>
          </w:tcPr>
          <w:p w:rsidR="00225770" w:rsidRPr="00331BF2" w:rsidRDefault="00225770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7</w:t>
            </w:r>
          </w:p>
        </w:tc>
        <w:tc>
          <w:tcPr>
            <w:tcW w:w="805" w:type="dxa"/>
            <w:vAlign w:val="center"/>
          </w:tcPr>
          <w:p w:rsidR="00225770" w:rsidRPr="00331BF2" w:rsidRDefault="00225770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8</w:t>
            </w:r>
          </w:p>
        </w:tc>
        <w:tc>
          <w:tcPr>
            <w:tcW w:w="896" w:type="dxa"/>
            <w:vAlign w:val="center"/>
          </w:tcPr>
          <w:p w:rsidR="00225770" w:rsidRPr="00331BF2" w:rsidRDefault="00225770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9</w:t>
            </w:r>
          </w:p>
        </w:tc>
        <w:tc>
          <w:tcPr>
            <w:tcW w:w="805" w:type="dxa"/>
            <w:vAlign w:val="center"/>
          </w:tcPr>
          <w:p w:rsidR="00225770" w:rsidRPr="00331BF2" w:rsidRDefault="00225770" w:rsidP="00A516DA">
            <w:pPr>
              <w:jc w:val="center"/>
              <w:rPr>
                <w:rStyle w:val="Bodytext20"/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10</w:t>
            </w:r>
          </w:p>
        </w:tc>
      </w:tr>
      <w:tr w:rsidR="00AF0CA0" w:rsidRPr="00A75A1F" w:rsidTr="00C22999">
        <w:tc>
          <w:tcPr>
            <w:tcW w:w="0" w:type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1.</w:t>
            </w:r>
          </w:p>
        </w:tc>
        <w:tc>
          <w:tcPr>
            <w:tcW w:w="2146" w:type="dxa"/>
          </w:tcPr>
          <w:p w:rsidR="00AF0CA0" w:rsidRPr="00331BF2" w:rsidRDefault="00AF0CA0" w:rsidP="00AF0CA0">
            <w:pPr>
              <w:jc w:val="both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896" w:type="dxa"/>
            <w:shd w:val="clear" w:color="auto" w:fill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273428,60</w:t>
            </w:r>
          </w:p>
        </w:tc>
        <w:tc>
          <w:tcPr>
            <w:tcW w:w="805" w:type="dxa"/>
            <w:shd w:val="clear" w:color="auto" w:fill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84,13</w:t>
            </w:r>
          </w:p>
        </w:tc>
        <w:tc>
          <w:tcPr>
            <w:tcW w:w="896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279000,00</w:t>
            </w:r>
          </w:p>
        </w:tc>
        <w:tc>
          <w:tcPr>
            <w:tcW w:w="805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89,99</w:t>
            </w:r>
          </w:p>
        </w:tc>
        <w:tc>
          <w:tcPr>
            <w:tcW w:w="896" w:type="dxa"/>
            <w:shd w:val="clear" w:color="auto" w:fill="auto"/>
          </w:tcPr>
          <w:p w:rsidR="00AF0CA0" w:rsidRPr="00C22999" w:rsidRDefault="00A73BC2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22999">
              <w:rPr>
                <w:sz w:val="16"/>
                <w:szCs w:val="16"/>
              </w:rPr>
              <w:t>324480,00</w:t>
            </w:r>
          </w:p>
        </w:tc>
        <w:tc>
          <w:tcPr>
            <w:tcW w:w="805" w:type="dxa"/>
            <w:shd w:val="clear" w:color="auto" w:fill="auto"/>
          </w:tcPr>
          <w:p w:rsidR="00AF0CA0" w:rsidRPr="00C22999" w:rsidRDefault="00C22999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22999">
              <w:rPr>
                <w:sz w:val="16"/>
                <w:szCs w:val="16"/>
              </w:rPr>
              <w:t>95,44</w:t>
            </w:r>
          </w:p>
        </w:tc>
        <w:tc>
          <w:tcPr>
            <w:tcW w:w="896" w:type="dxa"/>
          </w:tcPr>
          <w:p w:rsidR="00AF0CA0" w:rsidRPr="00150BEB" w:rsidRDefault="00E333AB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50BEB">
              <w:rPr>
                <w:sz w:val="16"/>
                <w:szCs w:val="16"/>
              </w:rPr>
              <w:t>404199,22</w:t>
            </w:r>
          </w:p>
        </w:tc>
        <w:tc>
          <w:tcPr>
            <w:tcW w:w="805" w:type="dxa"/>
          </w:tcPr>
          <w:p w:rsidR="00AF0CA0" w:rsidRPr="00150BEB" w:rsidRDefault="00C22999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50BEB">
              <w:rPr>
                <w:sz w:val="16"/>
                <w:szCs w:val="16"/>
              </w:rPr>
              <w:t>100,00</w:t>
            </w:r>
          </w:p>
        </w:tc>
      </w:tr>
      <w:tr w:rsidR="00AF0CA0" w:rsidRPr="00A75A1F" w:rsidTr="00331BF2">
        <w:tc>
          <w:tcPr>
            <w:tcW w:w="0" w:type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2.</w:t>
            </w:r>
          </w:p>
        </w:tc>
        <w:tc>
          <w:tcPr>
            <w:tcW w:w="2146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331BF2">
              <w:rPr>
                <w:rStyle w:val="Bodytext20"/>
                <w:sz w:val="16"/>
                <w:szCs w:val="16"/>
              </w:rPr>
              <w:t>Бюджетные кредиты перед бюджетом Ставропольского края</w:t>
            </w:r>
          </w:p>
        </w:tc>
        <w:tc>
          <w:tcPr>
            <w:tcW w:w="896" w:type="dxa"/>
            <w:shd w:val="clear" w:color="auto" w:fill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51553,40</w:t>
            </w:r>
          </w:p>
        </w:tc>
        <w:tc>
          <w:tcPr>
            <w:tcW w:w="805" w:type="dxa"/>
            <w:shd w:val="clear" w:color="auto" w:fill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15,86</w:t>
            </w:r>
          </w:p>
        </w:tc>
        <w:tc>
          <w:tcPr>
            <w:tcW w:w="896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31025,00</w:t>
            </w:r>
          </w:p>
        </w:tc>
        <w:tc>
          <w:tcPr>
            <w:tcW w:w="805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10,01</w:t>
            </w:r>
          </w:p>
        </w:tc>
        <w:tc>
          <w:tcPr>
            <w:tcW w:w="896" w:type="dxa"/>
          </w:tcPr>
          <w:p w:rsidR="00AF0CA0" w:rsidRPr="00A73BC2" w:rsidRDefault="00A73BC2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73BC2">
              <w:rPr>
                <w:sz w:val="16"/>
                <w:szCs w:val="16"/>
              </w:rPr>
              <w:t>15512,00</w:t>
            </w:r>
          </w:p>
        </w:tc>
        <w:tc>
          <w:tcPr>
            <w:tcW w:w="805" w:type="dxa"/>
          </w:tcPr>
          <w:p w:rsidR="00AF0CA0" w:rsidRPr="00A73BC2" w:rsidRDefault="00A73BC2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73BC2">
              <w:rPr>
                <w:sz w:val="16"/>
                <w:szCs w:val="16"/>
              </w:rPr>
              <w:t>4,56</w:t>
            </w:r>
          </w:p>
        </w:tc>
        <w:tc>
          <w:tcPr>
            <w:tcW w:w="896" w:type="dxa"/>
          </w:tcPr>
          <w:p w:rsidR="00AF0CA0" w:rsidRPr="00150BEB" w:rsidRDefault="00C22999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50BEB">
              <w:rPr>
                <w:sz w:val="16"/>
                <w:szCs w:val="16"/>
              </w:rPr>
              <w:t>0,00</w:t>
            </w:r>
          </w:p>
        </w:tc>
        <w:tc>
          <w:tcPr>
            <w:tcW w:w="805" w:type="dxa"/>
          </w:tcPr>
          <w:p w:rsidR="00AF0CA0" w:rsidRPr="00150BEB" w:rsidRDefault="00C22999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50BEB">
              <w:rPr>
                <w:sz w:val="16"/>
                <w:szCs w:val="16"/>
              </w:rPr>
              <w:t>0,00</w:t>
            </w:r>
          </w:p>
        </w:tc>
      </w:tr>
      <w:tr w:rsidR="00AF0CA0" w:rsidRPr="00A75A1F" w:rsidTr="00331BF2">
        <w:tc>
          <w:tcPr>
            <w:tcW w:w="0" w:type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3.</w:t>
            </w:r>
          </w:p>
        </w:tc>
        <w:tc>
          <w:tcPr>
            <w:tcW w:w="2146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 xml:space="preserve">Муниципальные гарантии </w:t>
            </w:r>
          </w:p>
        </w:tc>
        <w:tc>
          <w:tcPr>
            <w:tcW w:w="896" w:type="dxa"/>
            <w:shd w:val="clear" w:color="auto" w:fill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13,34</w:t>
            </w:r>
          </w:p>
        </w:tc>
        <w:tc>
          <w:tcPr>
            <w:tcW w:w="805" w:type="dxa"/>
            <w:shd w:val="clear" w:color="auto" w:fill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0,01</w:t>
            </w:r>
          </w:p>
        </w:tc>
        <w:tc>
          <w:tcPr>
            <w:tcW w:w="896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7,81</w:t>
            </w:r>
          </w:p>
        </w:tc>
        <w:tc>
          <w:tcPr>
            <w:tcW w:w="805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</w:tcPr>
          <w:p w:rsidR="00AF0CA0" w:rsidRPr="00A73BC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73BC2">
              <w:rPr>
                <w:sz w:val="16"/>
                <w:szCs w:val="16"/>
              </w:rPr>
              <w:t>7,81</w:t>
            </w:r>
          </w:p>
        </w:tc>
        <w:tc>
          <w:tcPr>
            <w:tcW w:w="805" w:type="dxa"/>
          </w:tcPr>
          <w:p w:rsidR="00AF0CA0" w:rsidRPr="00A73BC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73BC2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</w:tcPr>
          <w:p w:rsidR="00AF0CA0" w:rsidRPr="00150BEB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50BEB">
              <w:rPr>
                <w:sz w:val="16"/>
                <w:szCs w:val="16"/>
              </w:rPr>
              <w:t>7,81</w:t>
            </w:r>
          </w:p>
        </w:tc>
        <w:tc>
          <w:tcPr>
            <w:tcW w:w="805" w:type="dxa"/>
          </w:tcPr>
          <w:p w:rsidR="00AF0CA0" w:rsidRPr="00150BEB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50BEB">
              <w:rPr>
                <w:sz w:val="16"/>
                <w:szCs w:val="16"/>
              </w:rPr>
              <w:t>0,00</w:t>
            </w:r>
          </w:p>
        </w:tc>
      </w:tr>
      <w:tr w:rsidR="00AF0CA0" w:rsidRPr="00A75A1F" w:rsidTr="00331BF2">
        <w:tc>
          <w:tcPr>
            <w:tcW w:w="0" w:type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ИТОГО</w:t>
            </w:r>
          </w:p>
        </w:tc>
        <w:tc>
          <w:tcPr>
            <w:tcW w:w="896" w:type="dxa"/>
            <w:shd w:val="clear" w:color="auto" w:fill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324995,34</w:t>
            </w:r>
          </w:p>
        </w:tc>
        <w:tc>
          <w:tcPr>
            <w:tcW w:w="805" w:type="dxa"/>
            <w:shd w:val="clear" w:color="auto" w:fill="auto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100,00</w:t>
            </w:r>
          </w:p>
        </w:tc>
        <w:tc>
          <w:tcPr>
            <w:tcW w:w="896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310032,81</w:t>
            </w:r>
          </w:p>
        </w:tc>
        <w:tc>
          <w:tcPr>
            <w:tcW w:w="805" w:type="dxa"/>
          </w:tcPr>
          <w:p w:rsidR="00AF0CA0" w:rsidRPr="00331BF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31BF2">
              <w:rPr>
                <w:sz w:val="16"/>
                <w:szCs w:val="16"/>
              </w:rPr>
              <w:t>100,00</w:t>
            </w:r>
          </w:p>
        </w:tc>
        <w:tc>
          <w:tcPr>
            <w:tcW w:w="896" w:type="dxa"/>
          </w:tcPr>
          <w:p w:rsidR="00AF0CA0" w:rsidRPr="00A73BC2" w:rsidRDefault="00A73BC2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73BC2">
              <w:rPr>
                <w:sz w:val="16"/>
                <w:szCs w:val="16"/>
              </w:rPr>
              <w:t>339999,81</w:t>
            </w:r>
          </w:p>
        </w:tc>
        <w:tc>
          <w:tcPr>
            <w:tcW w:w="805" w:type="dxa"/>
          </w:tcPr>
          <w:p w:rsidR="00AF0CA0" w:rsidRPr="00A73BC2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73BC2">
              <w:rPr>
                <w:sz w:val="16"/>
                <w:szCs w:val="16"/>
              </w:rPr>
              <w:t>100,00</w:t>
            </w:r>
          </w:p>
        </w:tc>
        <w:tc>
          <w:tcPr>
            <w:tcW w:w="896" w:type="dxa"/>
          </w:tcPr>
          <w:p w:rsidR="00AF0CA0" w:rsidRPr="00150BEB" w:rsidRDefault="00E333AB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50BEB">
              <w:rPr>
                <w:sz w:val="16"/>
                <w:szCs w:val="16"/>
              </w:rPr>
              <w:t>404207,03</w:t>
            </w:r>
          </w:p>
        </w:tc>
        <w:tc>
          <w:tcPr>
            <w:tcW w:w="805" w:type="dxa"/>
          </w:tcPr>
          <w:p w:rsidR="00AF0CA0" w:rsidRPr="00150BEB" w:rsidRDefault="00AF0CA0" w:rsidP="00AF0CA0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50BEB">
              <w:rPr>
                <w:sz w:val="16"/>
                <w:szCs w:val="16"/>
              </w:rPr>
              <w:t>100,00</w:t>
            </w:r>
          </w:p>
        </w:tc>
      </w:tr>
    </w:tbl>
    <w:p w:rsidR="00745E82" w:rsidRPr="00A75A1F" w:rsidRDefault="00745E82" w:rsidP="00A516DA">
      <w:pPr>
        <w:ind w:firstLine="709"/>
        <w:jc w:val="both"/>
        <w:rPr>
          <w:color w:val="000000" w:themeColor="text1"/>
          <w:spacing w:val="2"/>
          <w:sz w:val="28"/>
          <w:szCs w:val="28"/>
          <w:highlight w:val="yellow"/>
        </w:rPr>
      </w:pPr>
    </w:p>
    <w:p w:rsidR="002E33EB" w:rsidRDefault="00B401C4" w:rsidP="00B401C4">
      <w:pPr>
        <w:ind w:firstLine="709"/>
        <w:jc w:val="both"/>
        <w:rPr>
          <w:sz w:val="28"/>
          <w:szCs w:val="28"/>
        </w:rPr>
      </w:pPr>
      <w:r w:rsidRPr="00F85D8F">
        <w:rPr>
          <w:sz w:val="28"/>
          <w:szCs w:val="28"/>
        </w:rPr>
        <w:t>На увеличение доли кредитов кредитных организаций в составе муниципального долга с 84,13 процентов в 20</w:t>
      </w:r>
      <w:r w:rsidR="00BD7E90">
        <w:rPr>
          <w:sz w:val="28"/>
          <w:szCs w:val="28"/>
        </w:rPr>
        <w:t>17 году до 100 процентов в 2020 </w:t>
      </w:r>
      <w:r w:rsidR="00C5614B">
        <w:rPr>
          <w:sz w:val="28"/>
          <w:szCs w:val="28"/>
        </w:rPr>
        <w:t xml:space="preserve">году </w:t>
      </w:r>
      <w:r w:rsidRPr="00F85D8F">
        <w:rPr>
          <w:sz w:val="28"/>
          <w:szCs w:val="28"/>
        </w:rPr>
        <w:t>в общей сумме долговых обязательств</w:t>
      </w:r>
      <w:r w:rsidR="00C5614B">
        <w:rPr>
          <w:sz w:val="28"/>
          <w:szCs w:val="28"/>
        </w:rPr>
        <w:t>,</w:t>
      </w:r>
      <w:r w:rsidRPr="00F85D8F">
        <w:rPr>
          <w:sz w:val="28"/>
          <w:szCs w:val="28"/>
        </w:rPr>
        <w:t xml:space="preserve"> повлияло погашение бюджетного кредита из бюджета Ставропольского края на покрытие временного кассового разрыва, возник</w:t>
      </w:r>
      <w:r w:rsidR="00C5614B">
        <w:rPr>
          <w:sz w:val="28"/>
          <w:szCs w:val="28"/>
        </w:rPr>
        <w:t>шего</w:t>
      </w:r>
      <w:r w:rsidRPr="00F85D8F">
        <w:rPr>
          <w:sz w:val="28"/>
          <w:szCs w:val="28"/>
        </w:rPr>
        <w:t xml:space="preserve"> при исполнении бюджета города</w:t>
      </w:r>
      <w:r w:rsidR="002E33EB">
        <w:rPr>
          <w:sz w:val="28"/>
          <w:szCs w:val="28"/>
        </w:rPr>
        <w:t>.</w:t>
      </w:r>
    </w:p>
    <w:p w:rsidR="00B401C4" w:rsidRPr="00BD7E90" w:rsidRDefault="002E33EB" w:rsidP="00B401C4">
      <w:pPr>
        <w:ind w:firstLine="709"/>
        <w:jc w:val="both"/>
        <w:rPr>
          <w:sz w:val="28"/>
          <w:szCs w:val="28"/>
        </w:rPr>
      </w:pPr>
      <w:r w:rsidRPr="00BD7E90">
        <w:rPr>
          <w:sz w:val="28"/>
          <w:szCs w:val="28"/>
        </w:rPr>
        <w:t xml:space="preserve">Увеличение долговой нагрузки в 2020 году </w:t>
      </w:r>
      <w:proofErr w:type="gramStart"/>
      <w:r w:rsidRPr="00BD7E90">
        <w:rPr>
          <w:sz w:val="28"/>
          <w:szCs w:val="28"/>
        </w:rPr>
        <w:t>связано</w:t>
      </w:r>
      <w:proofErr w:type="gramEnd"/>
      <w:r w:rsidRPr="00BD7E90">
        <w:rPr>
          <w:sz w:val="28"/>
          <w:szCs w:val="28"/>
        </w:rPr>
        <w:t xml:space="preserve"> в том числе и с отсутствием Порядка п</w:t>
      </w:r>
      <w:r w:rsidRPr="00BD7E90">
        <w:rPr>
          <w:sz w:val="28"/>
          <w:szCs w:val="28"/>
          <w:shd w:val="clear" w:color="auto" w:fill="FFFFFF"/>
        </w:rPr>
        <w:t>редоставления бюджетных кредитов из бюджета Ставропольского края муниципальным образованиям, в целях частичного замещения их долговых обязательств</w:t>
      </w:r>
      <w:r w:rsidRPr="00BD7E9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BD7E90">
        <w:rPr>
          <w:sz w:val="28"/>
          <w:szCs w:val="28"/>
          <w:shd w:val="clear" w:color="auto" w:fill="FFFFFF"/>
        </w:rPr>
        <w:t>по кредитам, полученным ими от кредитных организаций.</w:t>
      </w:r>
    </w:p>
    <w:p w:rsidR="004E39EB" w:rsidRPr="00150BEB" w:rsidRDefault="002D2308" w:rsidP="00A516DA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50BEB">
        <w:rPr>
          <w:color w:val="000000" w:themeColor="text1"/>
          <w:spacing w:val="2"/>
          <w:sz w:val="28"/>
          <w:szCs w:val="28"/>
        </w:rPr>
        <w:t>Муниципальные гарантии города в 201</w:t>
      </w:r>
      <w:r w:rsidR="00150BEB" w:rsidRPr="00150BEB">
        <w:rPr>
          <w:color w:val="000000" w:themeColor="text1"/>
          <w:spacing w:val="2"/>
          <w:sz w:val="28"/>
          <w:szCs w:val="28"/>
        </w:rPr>
        <w:t>7</w:t>
      </w:r>
      <w:r w:rsidRPr="00150BEB">
        <w:rPr>
          <w:color w:val="000000" w:themeColor="text1"/>
          <w:spacing w:val="2"/>
          <w:sz w:val="28"/>
          <w:szCs w:val="28"/>
        </w:rPr>
        <w:t xml:space="preserve"> – 201</w:t>
      </w:r>
      <w:r w:rsidR="00150BEB" w:rsidRPr="00150BEB">
        <w:rPr>
          <w:color w:val="000000" w:themeColor="text1"/>
          <w:spacing w:val="2"/>
          <w:sz w:val="28"/>
          <w:szCs w:val="28"/>
        </w:rPr>
        <w:t>9</w:t>
      </w:r>
      <w:r w:rsidRPr="00150BEB">
        <w:rPr>
          <w:color w:val="000000" w:themeColor="text1"/>
          <w:spacing w:val="2"/>
          <w:sz w:val="28"/>
          <w:szCs w:val="28"/>
        </w:rPr>
        <w:t xml:space="preserve"> годах не предоставлялись. В 20</w:t>
      </w:r>
      <w:r w:rsidR="00150BEB">
        <w:rPr>
          <w:color w:val="000000" w:themeColor="text1"/>
          <w:spacing w:val="2"/>
          <w:sz w:val="28"/>
          <w:szCs w:val="28"/>
        </w:rPr>
        <w:t>20</w:t>
      </w:r>
      <w:r w:rsidRPr="00150BEB">
        <w:rPr>
          <w:color w:val="000000" w:themeColor="text1"/>
          <w:spacing w:val="2"/>
          <w:sz w:val="28"/>
          <w:szCs w:val="28"/>
        </w:rPr>
        <w:t xml:space="preserve"> году предоставление муниципальных гарантий города</w:t>
      </w:r>
      <w:r w:rsidR="004E39EB" w:rsidRPr="00150BEB">
        <w:rPr>
          <w:color w:val="000000" w:themeColor="text1"/>
          <w:spacing w:val="2"/>
          <w:sz w:val="28"/>
          <w:szCs w:val="28"/>
        </w:rPr>
        <w:t xml:space="preserve"> также не планируется. </w:t>
      </w:r>
    </w:p>
    <w:p w:rsidR="00953ACC" w:rsidRPr="003F0751" w:rsidRDefault="00953ACC" w:rsidP="00A516DA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F0751">
        <w:rPr>
          <w:color w:val="000000" w:themeColor="text1"/>
          <w:spacing w:val="2"/>
          <w:sz w:val="28"/>
          <w:szCs w:val="28"/>
        </w:rPr>
        <w:t>Показатели долгово</w:t>
      </w:r>
      <w:r w:rsidR="0006403C" w:rsidRPr="003F0751">
        <w:rPr>
          <w:color w:val="000000" w:themeColor="text1"/>
          <w:spacing w:val="2"/>
          <w:sz w:val="28"/>
          <w:szCs w:val="28"/>
        </w:rPr>
        <w:t xml:space="preserve">й устойчивости города </w:t>
      </w:r>
      <w:r w:rsidR="004E39EB" w:rsidRPr="003F0751">
        <w:rPr>
          <w:color w:val="000000" w:themeColor="text1"/>
          <w:spacing w:val="2"/>
          <w:sz w:val="28"/>
          <w:szCs w:val="28"/>
        </w:rPr>
        <w:t>в</w:t>
      </w:r>
      <w:r w:rsidR="0006403C" w:rsidRPr="003F0751">
        <w:rPr>
          <w:color w:val="000000" w:themeColor="text1"/>
          <w:spacing w:val="2"/>
          <w:sz w:val="28"/>
          <w:szCs w:val="28"/>
        </w:rPr>
        <w:t> </w:t>
      </w:r>
      <w:r w:rsidRPr="003F0751">
        <w:rPr>
          <w:color w:val="000000" w:themeColor="text1"/>
          <w:spacing w:val="2"/>
          <w:sz w:val="28"/>
          <w:szCs w:val="28"/>
        </w:rPr>
        <w:t>201</w:t>
      </w:r>
      <w:r w:rsidR="002D6CD1" w:rsidRPr="003F0751">
        <w:rPr>
          <w:color w:val="000000" w:themeColor="text1"/>
          <w:spacing w:val="2"/>
          <w:sz w:val="28"/>
          <w:szCs w:val="28"/>
        </w:rPr>
        <w:t>7</w:t>
      </w:r>
      <w:r w:rsidRPr="003F0751">
        <w:rPr>
          <w:color w:val="000000" w:themeColor="text1"/>
          <w:spacing w:val="2"/>
          <w:sz w:val="28"/>
          <w:szCs w:val="28"/>
        </w:rPr>
        <w:t> </w:t>
      </w:r>
      <w:r w:rsidRPr="003F0751">
        <w:rPr>
          <w:color w:val="000000" w:themeColor="text1"/>
          <w:spacing w:val="2"/>
          <w:sz w:val="28"/>
          <w:szCs w:val="28"/>
        </w:rPr>
        <w:noBreakHyphen/>
        <w:t> 20</w:t>
      </w:r>
      <w:r w:rsidR="002D6CD1" w:rsidRPr="003F0751">
        <w:rPr>
          <w:color w:val="000000" w:themeColor="text1"/>
          <w:spacing w:val="2"/>
          <w:sz w:val="28"/>
          <w:szCs w:val="28"/>
        </w:rPr>
        <w:t>20</w:t>
      </w:r>
      <w:r w:rsidR="00260A96" w:rsidRPr="003F0751">
        <w:rPr>
          <w:color w:val="000000" w:themeColor="text1"/>
          <w:spacing w:val="2"/>
          <w:sz w:val="28"/>
          <w:szCs w:val="28"/>
        </w:rPr>
        <w:t> годах</w:t>
      </w:r>
      <w:r w:rsidRPr="003F0751">
        <w:rPr>
          <w:color w:val="000000" w:themeColor="text1"/>
          <w:spacing w:val="2"/>
          <w:sz w:val="28"/>
          <w:szCs w:val="28"/>
        </w:rPr>
        <w:t xml:space="preserve"> представлены в таблице 2.</w:t>
      </w:r>
    </w:p>
    <w:p w:rsidR="00D35A95" w:rsidRPr="003F0751" w:rsidRDefault="00D35A95" w:rsidP="00A516DA">
      <w:pPr>
        <w:ind w:firstLine="709"/>
        <w:jc w:val="both"/>
        <w:rPr>
          <w:color w:val="000000" w:themeColor="text1"/>
          <w:sz w:val="28"/>
          <w:szCs w:val="28"/>
        </w:rPr>
      </w:pPr>
    </w:p>
    <w:p w:rsidR="00953ACC" w:rsidRPr="003F0751" w:rsidRDefault="00953ACC" w:rsidP="00A516DA">
      <w:pPr>
        <w:jc w:val="right"/>
        <w:rPr>
          <w:color w:val="000000" w:themeColor="text1"/>
          <w:sz w:val="28"/>
          <w:szCs w:val="28"/>
        </w:rPr>
      </w:pPr>
      <w:r w:rsidRPr="003F0751">
        <w:rPr>
          <w:color w:val="000000" w:themeColor="text1"/>
          <w:sz w:val="28"/>
          <w:szCs w:val="28"/>
        </w:rPr>
        <w:t>Таблица 2</w:t>
      </w:r>
    </w:p>
    <w:p w:rsidR="00953ACC" w:rsidRPr="003F0751" w:rsidRDefault="00953ACC" w:rsidP="00A516DA">
      <w:pPr>
        <w:jc w:val="center"/>
        <w:rPr>
          <w:color w:val="000000" w:themeColor="text1"/>
          <w:sz w:val="28"/>
          <w:szCs w:val="28"/>
        </w:rPr>
      </w:pPr>
      <w:r w:rsidRPr="003F0751">
        <w:rPr>
          <w:color w:val="000000" w:themeColor="text1"/>
          <w:sz w:val="28"/>
          <w:szCs w:val="28"/>
        </w:rPr>
        <w:t>ПОКАЗАТЕЛИ</w:t>
      </w:r>
    </w:p>
    <w:p w:rsidR="00953ACC" w:rsidRPr="003F0751" w:rsidRDefault="00953ACC" w:rsidP="00A516DA">
      <w:pPr>
        <w:jc w:val="center"/>
        <w:rPr>
          <w:color w:val="000000" w:themeColor="text1"/>
          <w:sz w:val="28"/>
          <w:szCs w:val="28"/>
        </w:rPr>
      </w:pPr>
      <w:r w:rsidRPr="003F0751">
        <w:rPr>
          <w:color w:val="000000" w:themeColor="text1"/>
          <w:sz w:val="28"/>
          <w:szCs w:val="28"/>
        </w:rPr>
        <w:t xml:space="preserve">долговой устойчивости города </w:t>
      </w:r>
      <w:r w:rsidR="00260A96" w:rsidRPr="003F0751">
        <w:rPr>
          <w:color w:val="000000" w:themeColor="text1"/>
          <w:sz w:val="28"/>
          <w:szCs w:val="28"/>
        </w:rPr>
        <w:t>в</w:t>
      </w:r>
      <w:r w:rsidRPr="003F0751">
        <w:rPr>
          <w:color w:val="000000" w:themeColor="text1"/>
          <w:sz w:val="28"/>
          <w:szCs w:val="28"/>
        </w:rPr>
        <w:t xml:space="preserve"> 201</w:t>
      </w:r>
      <w:r w:rsidR="002D6CD1" w:rsidRPr="003F0751">
        <w:rPr>
          <w:color w:val="000000" w:themeColor="text1"/>
          <w:sz w:val="28"/>
          <w:szCs w:val="28"/>
        </w:rPr>
        <w:t>7</w:t>
      </w:r>
      <w:r w:rsidR="00C35EFD" w:rsidRPr="003F0751">
        <w:rPr>
          <w:color w:val="000000" w:themeColor="text1"/>
          <w:sz w:val="28"/>
          <w:szCs w:val="28"/>
        </w:rPr>
        <w:t xml:space="preserve"> </w:t>
      </w:r>
      <w:r w:rsidRPr="003F0751">
        <w:rPr>
          <w:color w:val="000000" w:themeColor="text1"/>
          <w:sz w:val="28"/>
          <w:szCs w:val="28"/>
        </w:rPr>
        <w:t>-</w:t>
      </w:r>
      <w:r w:rsidR="00C35EFD" w:rsidRPr="003F0751">
        <w:rPr>
          <w:color w:val="000000" w:themeColor="text1"/>
          <w:sz w:val="28"/>
          <w:szCs w:val="28"/>
        </w:rPr>
        <w:t xml:space="preserve"> </w:t>
      </w:r>
      <w:r w:rsidRPr="003F0751">
        <w:rPr>
          <w:color w:val="000000" w:themeColor="text1"/>
          <w:sz w:val="28"/>
          <w:szCs w:val="28"/>
        </w:rPr>
        <w:t>20</w:t>
      </w:r>
      <w:r w:rsidR="002D6CD1" w:rsidRPr="003F0751">
        <w:rPr>
          <w:color w:val="000000" w:themeColor="text1"/>
          <w:sz w:val="28"/>
          <w:szCs w:val="28"/>
        </w:rPr>
        <w:t>20</w:t>
      </w:r>
      <w:r w:rsidR="00260A96" w:rsidRPr="003F0751">
        <w:rPr>
          <w:color w:val="000000" w:themeColor="text1"/>
          <w:sz w:val="28"/>
          <w:szCs w:val="28"/>
        </w:rPr>
        <w:t xml:space="preserve"> годах</w:t>
      </w:r>
      <w:r w:rsidRPr="003F0751">
        <w:rPr>
          <w:color w:val="000000" w:themeColor="text1"/>
          <w:sz w:val="28"/>
          <w:szCs w:val="28"/>
        </w:rPr>
        <w:t xml:space="preserve"> </w:t>
      </w:r>
    </w:p>
    <w:p w:rsidR="00C348A0" w:rsidRDefault="00C348A0" w:rsidP="00A516DA">
      <w:pPr>
        <w:shd w:val="clear" w:color="auto" w:fill="FFFFFF"/>
        <w:autoSpaceDE w:val="0"/>
        <w:autoSpaceDN w:val="0"/>
        <w:ind w:firstLine="709"/>
        <w:jc w:val="right"/>
        <w:rPr>
          <w:color w:val="000000" w:themeColor="text1"/>
          <w:sz w:val="28"/>
          <w:szCs w:val="28"/>
        </w:rPr>
      </w:pPr>
    </w:p>
    <w:p w:rsidR="00953ACC" w:rsidRDefault="00953ACC" w:rsidP="00A516DA">
      <w:pPr>
        <w:shd w:val="clear" w:color="auto" w:fill="FFFFFF"/>
        <w:autoSpaceDE w:val="0"/>
        <w:autoSpaceDN w:val="0"/>
        <w:ind w:firstLine="709"/>
        <w:jc w:val="right"/>
        <w:rPr>
          <w:color w:val="000000" w:themeColor="text1"/>
          <w:sz w:val="28"/>
          <w:szCs w:val="28"/>
        </w:rPr>
      </w:pPr>
      <w:r w:rsidRPr="003F0751">
        <w:rPr>
          <w:color w:val="000000" w:themeColor="text1"/>
          <w:sz w:val="28"/>
          <w:szCs w:val="28"/>
        </w:rPr>
        <w:t xml:space="preserve">    (процентов)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851"/>
        <w:gridCol w:w="850"/>
        <w:gridCol w:w="4104"/>
      </w:tblGrid>
      <w:tr w:rsidR="00C348A0" w:rsidRPr="00C348A0" w:rsidTr="00C348A0">
        <w:tc>
          <w:tcPr>
            <w:tcW w:w="562" w:type="dxa"/>
            <w:vMerge w:val="restart"/>
            <w:vAlign w:val="center"/>
          </w:tcPr>
          <w:p w:rsidR="00C348A0" w:rsidRPr="00C348A0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8A0">
              <w:rPr>
                <w:sz w:val="16"/>
                <w:szCs w:val="16"/>
              </w:rPr>
              <w:t xml:space="preserve">№ </w:t>
            </w:r>
            <w:proofErr w:type="gramStart"/>
            <w:r w:rsidRPr="00C348A0">
              <w:rPr>
                <w:sz w:val="16"/>
                <w:szCs w:val="16"/>
              </w:rPr>
              <w:t>п</w:t>
            </w:r>
            <w:proofErr w:type="gramEnd"/>
            <w:r w:rsidRPr="00C348A0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C348A0" w:rsidRPr="00C348A0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8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vAlign w:val="center"/>
          </w:tcPr>
          <w:p w:rsidR="00C348A0" w:rsidRPr="00C348A0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8A0">
              <w:rPr>
                <w:sz w:val="16"/>
                <w:szCs w:val="16"/>
              </w:rPr>
              <w:t>Исполнение бюджета города</w:t>
            </w:r>
          </w:p>
        </w:tc>
        <w:tc>
          <w:tcPr>
            <w:tcW w:w="4104" w:type="dxa"/>
            <w:vMerge w:val="restart"/>
          </w:tcPr>
          <w:p w:rsidR="00C348A0" w:rsidRPr="00C348A0" w:rsidRDefault="00C348A0" w:rsidP="00C348A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sz w:val="16"/>
                <w:szCs w:val="16"/>
              </w:rPr>
              <w:t>Утверждено решением Думы города «О бюджете города Невинномысска на 2020 год и на плановый период 2021 и 2022 годов»</w:t>
            </w:r>
            <w:r>
              <w:rPr>
                <w:sz w:val="16"/>
                <w:szCs w:val="16"/>
              </w:rPr>
              <w:t xml:space="preserve"> </w:t>
            </w:r>
            <w:r w:rsidRPr="00C348A0">
              <w:rPr>
                <w:sz w:val="16"/>
                <w:szCs w:val="16"/>
              </w:rPr>
              <w:t>(в редакции от 29.07.2020 № 549-68)</w:t>
            </w:r>
          </w:p>
        </w:tc>
      </w:tr>
      <w:tr w:rsidR="00C348A0" w:rsidRPr="00C348A0" w:rsidTr="00C348A0">
        <w:tc>
          <w:tcPr>
            <w:tcW w:w="562" w:type="dxa"/>
            <w:vMerge/>
          </w:tcPr>
          <w:p w:rsidR="00C348A0" w:rsidRPr="00C348A0" w:rsidRDefault="00C348A0" w:rsidP="00C348A0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48A0" w:rsidRPr="00C348A0" w:rsidRDefault="00C348A0" w:rsidP="00C348A0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48A0" w:rsidRPr="00C348A0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8A0"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348A0" w:rsidRPr="00C348A0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8A0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vAlign w:val="center"/>
          </w:tcPr>
          <w:p w:rsidR="00C348A0" w:rsidRPr="00C348A0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8A0">
              <w:rPr>
                <w:sz w:val="16"/>
                <w:szCs w:val="16"/>
              </w:rPr>
              <w:t>2019 год</w:t>
            </w:r>
          </w:p>
        </w:tc>
        <w:tc>
          <w:tcPr>
            <w:tcW w:w="4104" w:type="dxa"/>
            <w:vMerge/>
          </w:tcPr>
          <w:p w:rsidR="00C348A0" w:rsidRPr="00C348A0" w:rsidRDefault="00C348A0" w:rsidP="00C348A0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348A0" w:rsidRPr="00C348A0" w:rsidTr="00C348A0">
        <w:tc>
          <w:tcPr>
            <w:tcW w:w="562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127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04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</w:tbl>
    <w:p w:rsidR="00C348A0" w:rsidRPr="00C348A0" w:rsidRDefault="00C348A0" w:rsidP="00C348A0">
      <w:pPr>
        <w:spacing w:line="120" w:lineRule="auto"/>
        <w:rPr>
          <w:sz w:val="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851"/>
        <w:gridCol w:w="850"/>
        <w:gridCol w:w="4104"/>
      </w:tblGrid>
      <w:tr w:rsidR="00C348A0" w:rsidRPr="00C348A0" w:rsidTr="000D6159">
        <w:trPr>
          <w:tblHeader/>
        </w:trPr>
        <w:tc>
          <w:tcPr>
            <w:tcW w:w="562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04" w:type="dxa"/>
          </w:tcPr>
          <w:p w:rsidR="00C348A0" w:rsidRPr="00C348A0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348A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C348A0" w:rsidRPr="00C348A0" w:rsidTr="00C348A0">
        <w:tc>
          <w:tcPr>
            <w:tcW w:w="562" w:type="dxa"/>
          </w:tcPr>
          <w:p w:rsidR="00C348A0" w:rsidRPr="00C348A0" w:rsidRDefault="00C348A0" w:rsidP="00C348A0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27" w:type="dxa"/>
          </w:tcPr>
          <w:p w:rsidR="00C348A0" w:rsidRPr="002E33EB" w:rsidRDefault="00C348A0" w:rsidP="00C348A0">
            <w:pPr>
              <w:autoSpaceDE w:val="0"/>
              <w:autoSpaceDN w:val="0"/>
              <w:jc w:val="both"/>
              <w:rPr>
                <w:color w:val="000000" w:themeColor="text1"/>
                <w:sz w:val="16"/>
                <w:szCs w:val="16"/>
              </w:rPr>
            </w:pPr>
            <w:r w:rsidRPr="002E33EB">
              <w:rPr>
                <w:color w:val="000000" w:themeColor="text1"/>
                <w:sz w:val="16"/>
                <w:szCs w:val="16"/>
              </w:rPr>
              <w:t>Объем муниципального долга к объему доходов бюджета города без учета безвозмездных поступлений</w:t>
            </w:r>
          </w:p>
        </w:tc>
        <w:tc>
          <w:tcPr>
            <w:tcW w:w="850" w:type="dxa"/>
          </w:tcPr>
          <w:p w:rsidR="00C348A0" w:rsidRPr="00A838AE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838AE">
              <w:rPr>
                <w:color w:val="000000" w:themeColor="text1"/>
                <w:sz w:val="16"/>
                <w:szCs w:val="16"/>
              </w:rPr>
              <w:t>40,84</w:t>
            </w:r>
          </w:p>
        </w:tc>
        <w:tc>
          <w:tcPr>
            <w:tcW w:w="851" w:type="dxa"/>
          </w:tcPr>
          <w:p w:rsidR="00C348A0" w:rsidRPr="00A838AE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838AE">
              <w:rPr>
                <w:color w:val="000000" w:themeColor="text1"/>
                <w:sz w:val="16"/>
                <w:szCs w:val="16"/>
              </w:rPr>
              <w:t>36,82</w:t>
            </w:r>
          </w:p>
        </w:tc>
        <w:tc>
          <w:tcPr>
            <w:tcW w:w="850" w:type="dxa"/>
          </w:tcPr>
          <w:p w:rsidR="00C348A0" w:rsidRPr="00A75A1F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32,53</w:t>
            </w:r>
          </w:p>
        </w:tc>
        <w:tc>
          <w:tcPr>
            <w:tcW w:w="4104" w:type="dxa"/>
          </w:tcPr>
          <w:p w:rsidR="00C348A0" w:rsidRPr="00A75A1F" w:rsidRDefault="00C348A0" w:rsidP="00C348A0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36,85</w:t>
            </w:r>
          </w:p>
        </w:tc>
      </w:tr>
      <w:tr w:rsidR="00C348A0" w:rsidRPr="00C348A0" w:rsidTr="00C348A0">
        <w:tc>
          <w:tcPr>
            <w:tcW w:w="562" w:type="dxa"/>
          </w:tcPr>
          <w:p w:rsidR="00C348A0" w:rsidRPr="00C348A0" w:rsidRDefault="00C348A0" w:rsidP="00C348A0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127" w:type="dxa"/>
          </w:tcPr>
          <w:p w:rsidR="00C348A0" w:rsidRPr="002E33EB" w:rsidRDefault="00C348A0" w:rsidP="00C348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33EB">
              <w:rPr>
                <w:sz w:val="16"/>
                <w:szCs w:val="16"/>
              </w:rPr>
              <w:t>Доля расходов на обслуживание муниципального долга в общем объеме расходов бюджета города без учета объема расходов, осуществляемых за счет субсидий и субвенций</w:t>
            </w:r>
          </w:p>
        </w:tc>
        <w:tc>
          <w:tcPr>
            <w:tcW w:w="850" w:type="dxa"/>
          </w:tcPr>
          <w:p w:rsidR="00C348A0" w:rsidRPr="00A838AE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8AE">
              <w:rPr>
                <w:sz w:val="16"/>
                <w:szCs w:val="16"/>
              </w:rPr>
              <w:t>1,54</w:t>
            </w:r>
          </w:p>
        </w:tc>
        <w:tc>
          <w:tcPr>
            <w:tcW w:w="851" w:type="dxa"/>
          </w:tcPr>
          <w:p w:rsidR="00C348A0" w:rsidRPr="00A838AE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8AE">
              <w:rPr>
                <w:sz w:val="16"/>
                <w:szCs w:val="16"/>
              </w:rPr>
              <w:t>1,11</w:t>
            </w:r>
          </w:p>
        </w:tc>
        <w:tc>
          <w:tcPr>
            <w:tcW w:w="850" w:type="dxa"/>
          </w:tcPr>
          <w:p w:rsidR="00C348A0" w:rsidRPr="00D03492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4104" w:type="dxa"/>
          </w:tcPr>
          <w:p w:rsidR="00C348A0" w:rsidRPr="00A75A1F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1,09</w:t>
            </w:r>
          </w:p>
        </w:tc>
      </w:tr>
      <w:tr w:rsidR="00C348A0" w:rsidRPr="00C348A0" w:rsidTr="00C348A0">
        <w:tc>
          <w:tcPr>
            <w:tcW w:w="562" w:type="dxa"/>
          </w:tcPr>
          <w:p w:rsidR="00C348A0" w:rsidRPr="00C348A0" w:rsidRDefault="00C348A0" w:rsidP="00C348A0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127" w:type="dxa"/>
          </w:tcPr>
          <w:p w:rsidR="00C348A0" w:rsidRPr="002E33EB" w:rsidRDefault="00C348A0" w:rsidP="00C348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33EB">
              <w:rPr>
                <w:sz w:val="16"/>
                <w:szCs w:val="16"/>
              </w:rPr>
              <w:t>Годовая сумма платежей по погашению и обслуживанию муниципального долга к общему объему налоговых и неналоговых доходов бюджета города с учетом дотаций из бюджета Ставропольского края</w:t>
            </w:r>
          </w:p>
        </w:tc>
        <w:tc>
          <w:tcPr>
            <w:tcW w:w="850" w:type="dxa"/>
          </w:tcPr>
          <w:p w:rsidR="00C348A0" w:rsidRPr="00A838AE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8AE">
              <w:rPr>
                <w:sz w:val="16"/>
                <w:szCs w:val="16"/>
              </w:rPr>
              <w:t>41,15</w:t>
            </w:r>
          </w:p>
        </w:tc>
        <w:tc>
          <w:tcPr>
            <w:tcW w:w="851" w:type="dxa"/>
          </w:tcPr>
          <w:p w:rsidR="00C348A0" w:rsidRPr="00A838AE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8AE">
              <w:rPr>
                <w:sz w:val="16"/>
                <w:szCs w:val="16"/>
              </w:rPr>
              <w:t>27,49</w:t>
            </w:r>
          </w:p>
        </w:tc>
        <w:tc>
          <w:tcPr>
            <w:tcW w:w="850" w:type="dxa"/>
          </w:tcPr>
          <w:p w:rsidR="00C348A0" w:rsidRPr="00D03492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</w:t>
            </w:r>
          </w:p>
        </w:tc>
        <w:tc>
          <w:tcPr>
            <w:tcW w:w="4104" w:type="dxa"/>
          </w:tcPr>
          <w:p w:rsidR="00C348A0" w:rsidRPr="00A75A1F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15,40</w:t>
            </w:r>
          </w:p>
        </w:tc>
      </w:tr>
      <w:tr w:rsidR="00C348A0" w:rsidRPr="00C348A0" w:rsidTr="00C348A0">
        <w:tc>
          <w:tcPr>
            <w:tcW w:w="562" w:type="dxa"/>
          </w:tcPr>
          <w:p w:rsidR="00C348A0" w:rsidRPr="00C348A0" w:rsidRDefault="00C348A0" w:rsidP="00C348A0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127" w:type="dxa"/>
          </w:tcPr>
          <w:p w:rsidR="00C348A0" w:rsidRPr="002E33EB" w:rsidRDefault="00C348A0" w:rsidP="00C348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33EB">
              <w:rPr>
                <w:sz w:val="16"/>
                <w:szCs w:val="16"/>
              </w:rPr>
              <w:t>Доля краткосрочных долговых обязательств в общем объеме муниципального долга</w:t>
            </w:r>
          </w:p>
        </w:tc>
        <w:tc>
          <w:tcPr>
            <w:tcW w:w="850" w:type="dxa"/>
          </w:tcPr>
          <w:p w:rsidR="00C348A0" w:rsidRPr="002D6BDD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BD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48A0" w:rsidRPr="002D6BDD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BD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348A0" w:rsidRPr="002D6CD1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CD1">
              <w:rPr>
                <w:sz w:val="16"/>
                <w:szCs w:val="16"/>
              </w:rPr>
              <w:t>0</w:t>
            </w:r>
          </w:p>
        </w:tc>
        <w:tc>
          <w:tcPr>
            <w:tcW w:w="4104" w:type="dxa"/>
          </w:tcPr>
          <w:p w:rsidR="00C348A0" w:rsidRPr="002D6CD1" w:rsidRDefault="00C348A0" w:rsidP="00C348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33,52</w:t>
            </w:r>
          </w:p>
        </w:tc>
      </w:tr>
    </w:tbl>
    <w:p w:rsidR="00C348A0" w:rsidRDefault="00C348A0" w:rsidP="00A516DA">
      <w:pPr>
        <w:shd w:val="clear" w:color="auto" w:fill="FFFFFF"/>
        <w:autoSpaceDE w:val="0"/>
        <w:autoSpaceDN w:val="0"/>
        <w:ind w:firstLine="709"/>
        <w:jc w:val="right"/>
        <w:rPr>
          <w:color w:val="000000" w:themeColor="text1"/>
          <w:sz w:val="28"/>
          <w:szCs w:val="28"/>
        </w:rPr>
      </w:pPr>
    </w:p>
    <w:p w:rsidR="00976D93" w:rsidRDefault="00976D93" w:rsidP="00A516DA">
      <w:pPr>
        <w:ind w:firstLine="709"/>
        <w:jc w:val="both"/>
        <w:rPr>
          <w:sz w:val="28"/>
          <w:szCs w:val="28"/>
        </w:rPr>
      </w:pPr>
      <w:r w:rsidRPr="00855CF3">
        <w:rPr>
          <w:sz w:val="28"/>
          <w:szCs w:val="28"/>
        </w:rPr>
        <w:t xml:space="preserve">Отношение объема </w:t>
      </w:r>
      <w:r w:rsidR="00A53220" w:rsidRPr="00855CF3">
        <w:rPr>
          <w:sz w:val="28"/>
          <w:szCs w:val="28"/>
        </w:rPr>
        <w:t>муниципального</w:t>
      </w:r>
      <w:r w:rsidRPr="00855CF3">
        <w:rPr>
          <w:sz w:val="28"/>
          <w:szCs w:val="28"/>
        </w:rPr>
        <w:t xml:space="preserve"> долга к общему объему доходов бюджета </w:t>
      </w:r>
      <w:r w:rsidR="00A53220" w:rsidRPr="00855CF3">
        <w:rPr>
          <w:sz w:val="28"/>
          <w:szCs w:val="28"/>
        </w:rPr>
        <w:t xml:space="preserve">города </w:t>
      </w:r>
      <w:r w:rsidRPr="00855CF3">
        <w:rPr>
          <w:sz w:val="28"/>
          <w:szCs w:val="28"/>
        </w:rPr>
        <w:t>без учета безв</w:t>
      </w:r>
      <w:r w:rsidR="00E86BAC" w:rsidRPr="00855CF3">
        <w:rPr>
          <w:sz w:val="28"/>
          <w:szCs w:val="28"/>
        </w:rPr>
        <w:t>озмездных поступлений по итогам </w:t>
      </w:r>
      <w:r w:rsidRPr="00855CF3">
        <w:rPr>
          <w:sz w:val="28"/>
          <w:szCs w:val="28"/>
        </w:rPr>
        <w:t>201</w:t>
      </w:r>
      <w:r w:rsidR="00855CF3" w:rsidRPr="00855CF3">
        <w:rPr>
          <w:sz w:val="28"/>
          <w:szCs w:val="28"/>
        </w:rPr>
        <w:t>9</w:t>
      </w:r>
      <w:r w:rsidR="00E86BAC" w:rsidRPr="00855CF3">
        <w:rPr>
          <w:sz w:val="28"/>
          <w:szCs w:val="28"/>
        </w:rPr>
        <w:t> </w:t>
      </w:r>
      <w:r w:rsidRPr="00855CF3">
        <w:rPr>
          <w:sz w:val="28"/>
          <w:szCs w:val="28"/>
        </w:rPr>
        <w:t xml:space="preserve">года составило </w:t>
      </w:r>
      <w:r w:rsidR="002D6BDD">
        <w:rPr>
          <w:sz w:val="28"/>
          <w:szCs w:val="28"/>
        </w:rPr>
        <w:t>32,53</w:t>
      </w:r>
      <w:r w:rsidRPr="00085F31">
        <w:rPr>
          <w:sz w:val="28"/>
          <w:szCs w:val="28"/>
        </w:rPr>
        <w:t xml:space="preserve"> процента</w:t>
      </w:r>
      <w:r w:rsidRPr="006D3D19">
        <w:rPr>
          <w:sz w:val="28"/>
          <w:szCs w:val="28"/>
        </w:rPr>
        <w:t>, в 20</w:t>
      </w:r>
      <w:r w:rsidR="00855CF3" w:rsidRPr="006D3D19">
        <w:rPr>
          <w:sz w:val="28"/>
          <w:szCs w:val="28"/>
        </w:rPr>
        <w:t>20</w:t>
      </w:r>
      <w:r w:rsidR="0006403C" w:rsidRPr="006D3D19">
        <w:rPr>
          <w:sz w:val="28"/>
          <w:szCs w:val="28"/>
        </w:rPr>
        <w:t xml:space="preserve"> году </w:t>
      </w:r>
      <w:r w:rsidR="00CE4A7F">
        <w:rPr>
          <w:sz w:val="28"/>
          <w:szCs w:val="28"/>
        </w:rPr>
        <w:t>–</w:t>
      </w:r>
      <w:r w:rsidR="0006403C" w:rsidRPr="006D3D19">
        <w:rPr>
          <w:sz w:val="28"/>
          <w:szCs w:val="28"/>
        </w:rPr>
        <w:t xml:space="preserve"> запланировано на уровне </w:t>
      </w:r>
      <w:r w:rsidR="002D6BDD">
        <w:rPr>
          <w:sz w:val="28"/>
          <w:szCs w:val="28"/>
        </w:rPr>
        <w:t>36,85</w:t>
      </w:r>
      <w:r w:rsidR="0006403C" w:rsidRPr="006D3D19">
        <w:rPr>
          <w:sz w:val="28"/>
          <w:szCs w:val="28"/>
        </w:rPr>
        <w:t> </w:t>
      </w:r>
      <w:r w:rsidR="00A53220" w:rsidRPr="006D3D19">
        <w:rPr>
          <w:sz w:val="28"/>
          <w:szCs w:val="28"/>
        </w:rPr>
        <w:t>процента</w:t>
      </w:r>
      <w:r w:rsidR="007C636A" w:rsidRPr="006D3D19">
        <w:rPr>
          <w:sz w:val="28"/>
          <w:szCs w:val="28"/>
        </w:rPr>
        <w:t>,</w:t>
      </w:r>
      <w:r w:rsidR="007C636A" w:rsidRPr="006D3D19">
        <w:rPr>
          <w:color w:val="000000"/>
        </w:rPr>
        <w:t xml:space="preserve"> </w:t>
      </w:r>
      <w:r w:rsidR="007C636A" w:rsidRPr="006D3D19">
        <w:rPr>
          <w:color w:val="000000"/>
          <w:sz w:val="28"/>
          <w:szCs w:val="28"/>
        </w:rPr>
        <w:t>что выше дол</w:t>
      </w:r>
      <w:r w:rsidR="0006403C" w:rsidRPr="006D3D19">
        <w:rPr>
          <w:color w:val="000000"/>
          <w:sz w:val="28"/>
          <w:szCs w:val="28"/>
        </w:rPr>
        <w:t>говой нагрузки 201</w:t>
      </w:r>
      <w:r w:rsidR="00855CF3" w:rsidRPr="006D3D19">
        <w:rPr>
          <w:color w:val="000000"/>
          <w:sz w:val="28"/>
          <w:szCs w:val="28"/>
        </w:rPr>
        <w:t>9</w:t>
      </w:r>
      <w:r w:rsidR="0006403C" w:rsidRPr="006D3D19">
        <w:rPr>
          <w:color w:val="000000"/>
          <w:sz w:val="28"/>
          <w:szCs w:val="28"/>
        </w:rPr>
        <w:t xml:space="preserve"> года на </w:t>
      </w:r>
      <w:r w:rsidR="002D6BDD">
        <w:rPr>
          <w:color w:val="000000"/>
          <w:sz w:val="28"/>
          <w:szCs w:val="28"/>
        </w:rPr>
        <w:t>4,32</w:t>
      </w:r>
      <w:r w:rsidR="0006403C" w:rsidRPr="006D3D19">
        <w:rPr>
          <w:color w:val="000000"/>
          <w:sz w:val="28"/>
          <w:szCs w:val="28"/>
        </w:rPr>
        <w:t> </w:t>
      </w:r>
      <w:r w:rsidR="007C636A" w:rsidRPr="006D3D19">
        <w:rPr>
          <w:color w:val="000000"/>
          <w:sz w:val="28"/>
          <w:szCs w:val="28"/>
        </w:rPr>
        <w:t>процентных пункта</w:t>
      </w:r>
      <w:r w:rsidRPr="006D3D19">
        <w:rPr>
          <w:sz w:val="28"/>
          <w:szCs w:val="28"/>
        </w:rPr>
        <w:t>.</w:t>
      </w:r>
    </w:p>
    <w:p w:rsidR="00976D93" w:rsidRPr="005363CE" w:rsidRDefault="00976D93" w:rsidP="00A516DA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 xml:space="preserve">Доля объема расходов на обслуживание </w:t>
      </w:r>
      <w:r w:rsidR="00A53220" w:rsidRPr="005363CE">
        <w:rPr>
          <w:sz w:val="28"/>
          <w:szCs w:val="28"/>
        </w:rPr>
        <w:t>муниципального</w:t>
      </w:r>
      <w:r w:rsidRPr="005363CE">
        <w:rPr>
          <w:sz w:val="28"/>
          <w:szCs w:val="28"/>
        </w:rPr>
        <w:t xml:space="preserve"> долга</w:t>
      </w:r>
      <w:r w:rsidR="00E86BAC" w:rsidRPr="005363CE">
        <w:rPr>
          <w:sz w:val="28"/>
          <w:szCs w:val="28"/>
        </w:rPr>
        <w:t xml:space="preserve"> </w:t>
      </w:r>
      <w:r w:rsidRPr="005363CE">
        <w:rPr>
          <w:sz w:val="28"/>
          <w:szCs w:val="28"/>
        </w:rPr>
        <w:t>в общем объеме расходов бюджета</w:t>
      </w:r>
      <w:r w:rsidR="00A53220" w:rsidRPr="005363CE">
        <w:rPr>
          <w:sz w:val="28"/>
          <w:szCs w:val="28"/>
        </w:rPr>
        <w:t xml:space="preserve"> города</w:t>
      </w:r>
      <w:r w:rsidRPr="005363CE">
        <w:rPr>
          <w:sz w:val="28"/>
          <w:szCs w:val="28"/>
        </w:rPr>
        <w:t xml:space="preserve"> без учета объема </w:t>
      </w:r>
      <w:proofErr w:type="gramStart"/>
      <w:r w:rsidRPr="005363CE">
        <w:rPr>
          <w:sz w:val="28"/>
          <w:szCs w:val="28"/>
        </w:rPr>
        <w:t xml:space="preserve">расходов, осуществляемых за счет </w:t>
      </w:r>
      <w:r w:rsidR="00A53220" w:rsidRPr="005363CE">
        <w:rPr>
          <w:sz w:val="28"/>
          <w:szCs w:val="28"/>
        </w:rPr>
        <w:t xml:space="preserve">субсидий и </w:t>
      </w:r>
      <w:r w:rsidRPr="005363CE">
        <w:rPr>
          <w:sz w:val="28"/>
          <w:szCs w:val="28"/>
        </w:rPr>
        <w:t>субвенций по итогам 201</w:t>
      </w:r>
      <w:r w:rsidR="005363CE" w:rsidRPr="005363CE">
        <w:rPr>
          <w:sz w:val="28"/>
          <w:szCs w:val="28"/>
        </w:rPr>
        <w:t xml:space="preserve">9 </w:t>
      </w:r>
      <w:r w:rsidRPr="005363CE">
        <w:rPr>
          <w:sz w:val="28"/>
          <w:szCs w:val="28"/>
        </w:rPr>
        <w:t>года составила</w:t>
      </w:r>
      <w:proofErr w:type="gramEnd"/>
      <w:r w:rsidRPr="005363CE">
        <w:rPr>
          <w:sz w:val="28"/>
          <w:szCs w:val="28"/>
        </w:rPr>
        <w:t xml:space="preserve"> </w:t>
      </w:r>
      <w:r w:rsidR="002D6BDD">
        <w:rPr>
          <w:sz w:val="28"/>
          <w:szCs w:val="28"/>
        </w:rPr>
        <w:t>0,45</w:t>
      </w:r>
      <w:r w:rsidRPr="005363CE">
        <w:rPr>
          <w:sz w:val="28"/>
          <w:szCs w:val="28"/>
        </w:rPr>
        <w:t xml:space="preserve"> процента, в</w:t>
      </w:r>
      <w:r w:rsidR="00E502CC" w:rsidRPr="005363CE">
        <w:rPr>
          <w:sz w:val="28"/>
          <w:szCs w:val="28"/>
        </w:rPr>
        <w:t> </w:t>
      </w:r>
      <w:r w:rsidRPr="005363CE">
        <w:rPr>
          <w:sz w:val="28"/>
          <w:szCs w:val="28"/>
        </w:rPr>
        <w:t>20</w:t>
      </w:r>
      <w:r w:rsidR="005363CE" w:rsidRPr="005363CE">
        <w:rPr>
          <w:sz w:val="28"/>
          <w:szCs w:val="28"/>
        </w:rPr>
        <w:t xml:space="preserve">20 </w:t>
      </w:r>
      <w:r w:rsidRPr="005363CE">
        <w:rPr>
          <w:sz w:val="28"/>
          <w:szCs w:val="28"/>
        </w:rPr>
        <w:t xml:space="preserve">году </w:t>
      </w:r>
      <w:r w:rsidR="00CE4A7F">
        <w:rPr>
          <w:sz w:val="28"/>
          <w:szCs w:val="28"/>
        </w:rPr>
        <w:t>–</w:t>
      </w:r>
      <w:r w:rsidRPr="005363CE">
        <w:rPr>
          <w:sz w:val="28"/>
          <w:szCs w:val="28"/>
        </w:rPr>
        <w:t xml:space="preserve"> запланирована на уровне </w:t>
      </w:r>
      <w:r w:rsidR="002D6BDD">
        <w:rPr>
          <w:sz w:val="28"/>
          <w:szCs w:val="28"/>
        </w:rPr>
        <w:t>1,09</w:t>
      </w:r>
      <w:r w:rsidRPr="005363CE">
        <w:rPr>
          <w:sz w:val="28"/>
          <w:szCs w:val="28"/>
        </w:rPr>
        <w:t xml:space="preserve"> п</w:t>
      </w:r>
      <w:r w:rsidR="00A53220" w:rsidRPr="005363CE">
        <w:rPr>
          <w:sz w:val="28"/>
          <w:szCs w:val="28"/>
        </w:rPr>
        <w:t>роцента.</w:t>
      </w:r>
    </w:p>
    <w:p w:rsidR="002627A4" w:rsidRPr="005363CE" w:rsidRDefault="00830F40" w:rsidP="00A516D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="00976D93" w:rsidRPr="005363CE">
        <w:rPr>
          <w:sz w:val="28"/>
          <w:szCs w:val="28"/>
        </w:rPr>
        <w:t>одов</w:t>
      </w:r>
      <w:r>
        <w:rPr>
          <w:sz w:val="28"/>
          <w:szCs w:val="28"/>
        </w:rPr>
        <w:t>ая</w:t>
      </w:r>
      <w:r w:rsidR="00976D93" w:rsidRPr="005363CE">
        <w:rPr>
          <w:sz w:val="28"/>
          <w:szCs w:val="28"/>
        </w:rPr>
        <w:t xml:space="preserve"> </w:t>
      </w:r>
      <w:r>
        <w:rPr>
          <w:sz w:val="28"/>
          <w:szCs w:val="28"/>
        </w:rPr>
        <w:t>сумма</w:t>
      </w:r>
      <w:r w:rsidR="00976D93" w:rsidRPr="005363CE">
        <w:rPr>
          <w:sz w:val="28"/>
          <w:szCs w:val="28"/>
        </w:rPr>
        <w:t xml:space="preserve"> платежей по погашению и обслуживанию </w:t>
      </w:r>
      <w:r w:rsidR="00A53220" w:rsidRPr="005363CE">
        <w:rPr>
          <w:sz w:val="28"/>
          <w:szCs w:val="28"/>
        </w:rPr>
        <w:t>муниципального</w:t>
      </w:r>
      <w:r w:rsidR="00976D93" w:rsidRPr="005363CE">
        <w:rPr>
          <w:sz w:val="28"/>
          <w:szCs w:val="28"/>
        </w:rPr>
        <w:t xml:space="preserve"> долга к общему объему налоговых</w:t>
      </w:r>
      <w:r>
        <w:rPr>
          <w:sz w:val="28"/>
          <w:szCs w:val="28"/>
        </w:rPr>
        <w:t xml:space="preserve"> и</w:t>
      </w:r>
      <w:r w:rsidR="00976D93" w:rsidRPr="005363CE">
        <w:rPr>
          <w:sz w:val="28"/>
          <w:szCs w:val="28"/>
        </w:rPr>
        <w:t xml:space="preserve"> неналоговых доходов бюджета</w:t>
      </w:r>
      <w:r w:rsidR="00A53220" w:rsidRPr="005363CE">
        <w:rPr>
          <w:sz w:val="28"/>
          <w:szCs w:val="28"/>
        </w:rPr>
        <w:t xml:space="preserve"> города</w:t>
      </w:r>
      <w:r w:rsidR="00976D93" w:rsidRPr="005363CE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 w:rsidR="00976D93" w:rsidRPr="005363CE">
        <w:rPr>
          <w:sz w:val="28"/>
          <w:szCs w:val="28"/>
        </w:rPr>
        <w:t xml:space="preserve"> дотаций из бюджета </w:t>
      </w:r>
      <w:r w:rsidR="00A53220" w:rsidRPr="005363CE">
        <w:rPr>
          <w:sz w:val="28"/>
          <w:szCs w:val="28"/>
        </w:rPr>
        <w:t xml:space="preserve">Ставропольского края </w:t>
      </w:r>
      <w:r w:rsidR="0006403C" w:rsidRPr="005363CE">
        <w:rPr>
          <w:sz w:val="28"/>
          <w:szCs w:val="28"/>
        </w:rPr>
        <w:t>по итогам 201</w:t>
      </w:r>
      <w:r w:rsidR="005363CE" w:rsidRPr="005363CE">
        <w:rPr>
          <w:sz w:val="28"/>
          <w:szCs w:val="28"/>
        </w:rPr>
        <w:t>9</w:t>
      </w:r>
      <w:r w:rsidR="0006403C" w:rsidRPr="005363CE">
        <w:rPr>
          <w:sz w:val="28"/>
          <w:szCs w:val="28"/>
        </w:rPr>
        <w:t> </w:t>
      </w:r>
      <w:r w:rsidR="00976D93" w:rsidRPr="005363CE">
        <w:rPr>
          <w:sz w:val="28"/>
          <w:szCs w:val="28"/>
        </w:rPr>
        <w:t xml:space="preserve">года составило </w:t>
      </w:r>
      <w:r w:rsidRPr="000A52C5">
        <w:rPr>
          <w:sz w:val="28"/>
          <w:szCs w:val="28"/>
        </w:rPr>
        <w:t>2,9</w:t>
      </w:r>
      <w:r w:rsidR="005966A8" w:rsidRPr="000A52C5">
        <w:rPr>
          <w:sz w:val="28"/>
          <w:szCs w:val="28"/>
        </w:rPr>
        <w:t>3</w:t>
      </w:r>
      <w:r w:rsidR="00976D93" w:rsidRPr="000A52C5">
        <w:rPr>
          <w:sz w:val="28"/>
          <w:szCs w:val="28"/>
        </w:rPr>
        <w:t xml:space="preserve"> процента, в 20</w:t>
      </w:r>
      <w:r w:rsidR="005363CE" w:rsidRPr="000A52C5">
        <w:rPr>
          <w:sz w:val="28"/>
          <w:szCs w:val="28"/>
        </w:rPr>
        <w:t>20</w:t>
      </w:r>
      <w:r w:rsidR="00976D93" w:rsidRPr="000A52C5">
        <w:rPr>
          <w:sz w:val="28"/>
          <w:szCs w:val="28"/>
        </w:rPr>
        <w:t xml:space="preserve"> году </w:t>
      </w:r>
      <w:r w:rsidR="00CE4A7F">
        <w:rPr>
          <w:sz w:val="28"/>
          <w:szCs w:val="28"/>
        </w:rPr>
        <w:t>–</w:t>
      </w:r>
      <w:r w:rsidR="00976D93" w:rsidRPr="000A52C5">
        <w:rPr>
          <w:sz w:val="28"/>
          <w:szCs w:val="28"/>
        </w:rPr>
        <w:t xml:space="preserve"> запланировано н</w:t>
      </w:r>
      <w:r w:rsidR="00E502CC" w:rsidRPr="000A52C5">
        <w:rPr>
          <w:sz w:val="28"/>
          <w:szCs w:val="28"/>
        </w:rPr>
        <w:t>а уровне </w:t>
      </w:r>
      <w:r w:rsidR="005966A8" w:rsidRPr="000A52C5">
        <w:rPr>
          <w:sz w:val="28"/>
          <w:szCs w:val="28"/>
        </w:rPr>
        <w:t>15,40</w:t>
      </w:r>
      <w:r w:rsidR="00E65342" w:rsidRPr="000A52C5">
        <w:rPr>
          <w:sz w:val="28"/>
          <w:szCs w:val="28"/>
        </w:rPr>
        <w:t xml:space="preserve"> </w:t>
      </w:r>
      <w:r w:rsidR="00A53220" w:rsidRPr="000A52C5">
        <w:rPr>
          <w:sz w:val="28"/>
          <w:szCs w:val="28"/>
        </w:rPr>
        <w:t>процента</w:t>
      </w:r>
      <w:r w:rsidR="00976D93" w:rsidRPr="000A52C5">
        <w:rPr>
          <w:sz w:val="28"/>
          <w:szCs w:val="28"/>
        </w:rPr>
        <w:t>.</w:t>
      </w:r>
      <w:r w:rsidR="00800A88" w:rsidRPr="005363CE">
        <w:rPr>
          <w:color w:val="000000" w:themeColor="text1"/>
          <w:sz w:val="28"/>
          <w:szCs w:val="28"/>
        </w:rPr>
        <w:t xml:space="preserve"> </w:t>
      </w:r>
    </w:p>
    <w:p w:rsidR="00C9762A" w:rsidRPr="002D6BDD" w:rsidRDefault="00C9762A" w:rsidP="00A516DA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>Краткосрочные обязательства в 201</w:t>
      </w:r>
      <w:r w:rsidR="00830F40">
        <w:rPr>
          <w:sz w:val="28"/>
          <w:szCs w:val="28"/>
        </w:rPr>
        <w:t>7</w:t>
      </w:r>
      <w:r w:rsidRPr="005363CE">
        <w:rPr>
          <w:sz w:val="28"/>
          <w:szCs w:val="28"/>
        </w:rPr>
        <w:t xml:space="preserve"> - 20</w:t>
      </w:r>
      <w:r w:rsidR="002D6BDD">
        <w:rPr>
          <w:sz w:val="28"/>
          <w:szCs w:val="28"/>
        </w:rPr>
        <w:t>19</w:t>
      </w:r>
      <w:r w:rsidRPr="005363CE">
        <w:rPr>
          <w:sz w:val="28"/>
          <w:szCs w:val="28"/>
        </w:rPr>
        <w:t xml:space="preserve"> годах в составе муниципального долга отсутствуют.</w:t>
      </w:r>
      <w:r w:rsidR="002D6BDD">
        <w:rPr>
          <w:sz w:val="28"/>
          <w:szCs w:val="28"/>
        </w:rPr>
        <w:t xml:space="preserve"> По состоянию на 01 августа 2020 года</w:t>
      </w:r>
      <w:r w:rsidR="002D6BDD" w:rsidRPr="002D6BDD">
        <w:rPr>
          <w:sz w:val="16"/>
          <w:szCs w:val="16"/>
        </w:rPr>
        <w:t xml:space="preserve"> </w:t>
      </w:r>
      <w:r w:rsidR="002D6BDD">
        <w:rPr>
          <w:sz w:val="28"/>
          <w:szCs w:val="28"/>
        </w:rPr>
        <w:t>д</w:t>
      </w:r>
      <w:r w:rsidR="002D6BDD" w:rsidRPr="002D6BDD">
        <w:rPr>
          <w:sz w:val="28"/>
          <w:szCs w:val="28"/>
        </w:rPr>
        <w:t>оля краткосрочных долговых обязательств</w:t>
      </w:r>
      <w:r w:rsidR="002D6BDD">
        <w:rPr>
          <w:sz w:val="28"/>
          <w:szCs w:val="28"/>
        </w:rPr>
        <w:t xml:space="preserve"> составила 33,52 процента в общем объеме муниципального долга.</w:t>
      </w:r>
    </w:p>
    <w:p w:rsidR="00976D93" w:rsidRPr="005363CE" w:rsidRDefault="00976D93" w:rsidP="00A516DA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>Особое внимание в 201</w:t>
      </w:r>
      <w:r w:rsidR="005363CE" w:rsidRPr="005363CE">
        <w:rPr>
          <w:sz w:val="28"/>
          <w:szCs w:val="28"/>
        </w:rPr>
        <w:t>7</w:t>
      </w:r>
      <w:r w:rsidR="000E79AD" w:rsidRPr="005363CE">
        <w:rPr>
          <w:sz w:val="28"/>
          <w:szCs w:val="28"/>
        </w:rPr>
        <w:t xml:space="preserve"> </w:t>
      </w:r>
      <w:r w:rsidRPr="005363CE">
        <w:rPr>
          <w:sz w:val="28"/>
          <w:szCs w:val="28"/>
        </w:rPr>
        <w:t>-</w:t>
      </w:r>
      <w:r w:rsidR="000E79AD" w:rsidRPr="005363CE">
        <w:rPr>
          <w:sz w:val="28"/>
          <w:szCs w:val="28"/>
        </w:rPr>
        <w:t xml:space="preserve"> </w:t>
      </w:r>
      <w:r w:rsidRPr="005363CE">
        <w:rPr>
          <w:sz w:val="28"/>
          <w:szCs w:val="28"/>
        </w:rPr>
        <w:t>201</w:t>
      </w:r>
      <w:r w:rsidR="005363CE" w:rsidRPr="005363CE">
        <w:rPr>
          <w:sz w:val="28"/>
          <w:szCs w:val="28"/>
        </w:rPr>
        <w:t>9</w:t>
      </w:r>
      <w:r w:rsidRPr="005363CE">
        <w:rPr>
          <w:sz w:val="28"/>
          <w:szCs w:val="28"/>
        </w:rPr>
        <w:t xml:space="preserve"> год</w:t>
      </w:r>
      <w:r w:rsidR="00C438B3" w:rsidRPr="005363CE">
        <w:rPr>
          <w:sz w:val="28"/>
          <w:szCs w:val="28"/>
        </w:rPr>
        <w:t>ах</w:t>
      </w:r>
      <w:r w:rsidRPr="005363CE">
        <w:rPr>
          <w:sz w:val="28"/>
          <w:szCs w:val="28"/>
        </w:rPr>
        <w:t xml:space="preserve"> уделено оптимизации расходов бюджета </w:t>
      </w:r>
      <w:r w:rsidR="00147F88" w:rsidRPr="005363CE">
        <w:rPr>
          <w:sz w:val="28"/>
          <w:szCs w:val="28"/>
        </w:rPr>
        <w:t xml:space="preserve">города </w:t>
      </w:r>
      <w:r w:rsidRPr="005363CE">
        <w:rPr>
          <w:sz w:val="28"/>
          <w:szCs w:val="28"/>
        </w:rPr>
        <w:t xml:space="preserve">на обслуживание </w:t>
      </w:r>
      <w:r w:rsidR="00147F88" w:rsidRPr="005363CE">
        <w:rPr>
          <w:sz w:val="28"/>
          <w:szCs w:val="28"/>
        </w:rPr>
        <w:t>муниципального</w:t>
      </w:r>
      <w:r w:rsidRPr="005363CE">
        <w:rPr>
          <w:sz w:val="28"/>
          <w:szCs w:val="28"/>
        </w:rPr>
        <w:t xml:space="preserve"> долга. Для этого проводились следующие мероприятия:</w:t>
      </w:r>
    </w:p>
    <w:p w:rsidR="00976D93" w:rsidRPr="005363CE" w:rsidRDefault="00976D93" w:rsidP="00A516DA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 xml:space="preserve">привлечены краткосрочные бюджетные кредиты из федерального бюджета на пополнение остатков средств на </w:t>
      </w:r>
      <w:r w:rsidR="00147F88" w:rsidRPr="005363CE">
        <w:rPr>
          <w:sz w:val="28"/>
          <w:szCs w:val="28"/>
        </w:rPr>
        <w:t xml:space="preserve">едином </w:t>
      </w:r>
      <w:r w:rsidRPr="005363CE">
        <w:rPr>
          <w:sz w:val="28"/>
          <w:szCs w:val="28"/>
        </w:rPr>
        <w:t xml:space="preserve">счете бюджета </w:t>
      </w:r>
      <w:r w:rsidR="00147F88" w:rsidRPr="005363CE">
        <w:rPr>
          <w:sz w:val="28"/>
          <w:szCs w:val="28"/>
        </w:rPr>
        <w:t xml:space="preserve">города </w:t>
      </w:r>
      <w:r w:rsidR="00E502CC" w:rsidRPr="005363CE">
        <w:rPr>
          <w:sz w:val="28"/>
          <w:szCs w:val="28"/>
        </w:rPr>
        <w:t>под </w:t>
      </w:r>
      <w:r w:rsidRPr="005363CE">
        <w:rPr>
          <w:sz w:val="28"/>
          <w:szCs w:val="28"/>
        </w:rPr>
        <w:t xml:space="preserve">0,1 процента годовых и временно свободные средства </w:t>
      </w:r>
      <w:r w:rsidR="00147F88" w:rsidRPr="005363CE">
        <w:rPr>
          <w:sz w:val="28"/>
          <w:szCs w:val="28"/>
        </w:rPr>
        <w:t>муниципальных</w:t>
      </w:r>
      <w:r w:rsidRPr="005363CE">
        <w:rPr>
          <w:sz w:val="28"/>
          <w:szCs w:val="28"/>
        </w:rPr>
        <w:t xml:space="preserve"> бюджетных учреждений </w:t>
      </w:r>
      <w:r w:rsidR="00147F88" w:rsidRPr="005363CE">
        <w:rPr>
          <w:sz w:val="28"/>
          <w:szCs w:val="28"/>
        </w:rPr>
        <w:t>города</w:t>
      </w:r>
      <w:r w:rsidRPr="005363CE">
        <w:rPr>
          <w:sz w:val="28"/>
          <w:szCs w:val="28"/>
        </w:rPr>
        <w:t>;</w:t>
      </w:r>
    </w:p>
    <w:p w:rsidR="00976D93" w:rsidRPr="005363CE" w:rsidRDefault="00976D93" w:rsidP="00A516DA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lastRenderedPageBreak/>
        <w:t xml:space="preserve">привлечены и в дальнейшем реструктуризированы сроком на </w:t>
      </w:r>
      <w:r w:rsidR="00147F88" w:rsidRPr="005363CE">
        <w:rPr>
          <w:sz w:val="28"/>
          <w:szCs w:val="28"/>
        </w:rPr>
        <w:t>3</w:t>
      </w:r>
      <w:r w:rsidRPr="005363CE">
        <w:rPr>
          <w:sz w:val="28"/>
          <w:szCs w:val="28"/>
        </w:rPr>
        <w:t xml:space="preserve"> </w:t>
      </w:r>
      <w:r w:rsidR="00147F88" w:rsidRPr="005363CE">
        <w:rPr>
          <w:sz w:val="28"/>
          <w:szCs w:val="28"/>
        </w:rPr>
        <w:t>года</w:t>
      </w:r>
      <w:r w:rsidRPr="005363CE">
        <w:rPr>
          <w:sz w:val="28"/>
          <w:szCs w:val="28"/>
        </w:rPr>
        <w:t xml:space="preserve"> бюджетные кредиты из бюджета </w:t>
      </w:r>
      <w:r w:rsidR="00147F88" w:rsidRPr="005363CE">
        <w:rPr>
          <w:sz w:val="28"/>
          <w:szCs w:val="28"/>
        </w:rPr>
        <w:t xml:space="preserve">Ставропольского края </w:t>
      </w:r>
      <w:r w:rsidR="0006403C" w:rsidRPr="005363CE">
        <w:rPr>
          <w:sz w:val="28"/>
          <w:szCs w:val="28"/>
        </w:rPr>
        <w:t>на общую сумму </w:t>
      </w:r>
      <w:r w:rsidR="00D11369" w:rsidRPr="005363CE">
        <w:rPr>
          <w:sz w:val="28"/>
          <w:szCs w:val="28"/>
        </w:rPr>
        <w:t>61584,00</w:t>
      </w:r>
      <w:r w:rsidR="00CC63B8" w:rsidRPr="005363CE">
        <w:rPr>
          <w:sz w:val="28"/>
          <w:szCs w:val="28"/>
        </w:rPr>
        <w:t xml:space="preserve"> тыс.</w:t>
      </w:r>
      <w:r w:rsidRPr="005363CE">
        <w:rPr>
          <w:sz w:val="28"/>
          <w:szCs w:val="28"/>
        </w:rPr>
        <w:t xml:space="preserve"> рублей под 0,1 процента годовых;</w:t>
      </w:r>
    </w:p>
    <w:p w:rsidR="00D8316B" w:rsidRPr="00D8316B" w:rsidRDefault="00E65342" w:rsidP="00A516DA">
      <w:pPr>
        <w:ind w:firstLine="709"/>
        <w:jc w:val="both"/>
        <w:rPr>
          <w:sz w:val="28"/>
          <w:szCs w:val="28"/>
        </w:rPr>
      </w:pPr>
      <w:r w:rsidRPr="00D8316B">
        <w:rPr>
          <w:sz w:val="28"/>
          <w:szCs w:val="28"/>
        </w:rPr>
        <w:t xml:space="preserve">мониторинг процентных ставок по кредитам кредитных организаций в целях рефинансирования имеющихся долговых обязательств (вновь объявленные аукционы в 2017 и 2018 </w:t>
      </w:r>
      <w:r w:rsidR="00E86BAC" w:rsidRPr="00D8316B">
        <w:rPr>
          <w:sz w:val="28"/>
          <w:szCs w:val="28"/>
        </w:rPr>
        <w:t>годах</w:t>
      </w:r>
      <w:r w:rsidRPr="00D8316B">
        <w:rPr>
          <w:sz w:val="28"/>
          <w:szCs w:val="28"/>
        </w:rPr>
        <w:t xml:space="preserve"> позволили снизить процентные ставки по кредитам с </w:t>
      </w:r>
      <w:r w:rsidR="00745E82" w:rsidRPr="00D8316B">
        <w:rPr>
          <w:sz w:val="28"/>
          <w:szCs w:val="28"/>
        </w:rPr>
        <w:t>10,44</w:t>
      </w:r>
      <w:r w:rsidRPr="00D8316B">
        <w:rPr>
          <w:sz w:val="28"/>
          <w:szCs w:val="28"/>
        </w:rPr>
        <w:t xml:space="preserve"> процента до 7,97 процента годовых и расторгнуть прежние муниципальные контракты)</w:t>
      </w:r>
      <w:r w:rsidR="002848BD">
        <w:rPr>
          <w:sz w:val="28"/>
          <w:szCs w:val="28"/>
        </w:rPr>
        <w:t>;</w:t>
      </w:r>
      <w:r w:rsidR="00E25AFF" w:rsidRPr="00D8316B">
        <w:rPr>
          <w:sz w:val="28"/>
          <w:szCs w:val="28"/>
        </w:rPr>
        <w:t xml:space="preserve"> </w:t>
      </w:r>
    </w:p>
    <w:p w:rsidR="00E65342" w:rsidRPr="00D8316B" w:rsidRDefault="002848BD" w:rsidP="00A51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5AFF" w:rsidRPr="00D8316B">
        <w:rPr>
          <w:sz w:val="28"/>
          <w:szCs w:val="28"/>
        </w:rPr>
        <w:t xml:space="preserve"> связи с изменением ключевой ставки Центрального банка Российской Федерации в 2019 году, заключены дополнительные соглашения с П</w:t>
      </w:r>
      <w:r w:rsidR="002E33EB">
        <w:rPr>
          <w:sz w:val="28"/>
          <w:szCs w:val="28"/>
        </w:rPr>
        <w:t>АО</w:t>
      </w:r>
      <w:r w:rsidR="00E25AFF" w:rsidRPr="00D8316B">
        <w:rPr>
          <w:sz w:val="28"/>
          <w:szCs w:val="28"/>
        </w:rPr>
        <w:t xml:space="preserve"> «Сбербанк России» об уменьшение процентной ставки за пользование кредитами до 7,5 процента </w:t>
      </w:r>
      <w:proofErr w:type="gramStart"/>
      <w:r w:rsidR="00E25AFF" w:rsidRPr="00D8316B">
        <w:rPr>
          <w:sz w:val="28"/>
          <w:szCs w:val="28"/>
        </w:rPr>
        <w:t>годовых</w:t>
      </w:r>
      <w:proofErr w:type="gramEnd"/>
      <w:r w:rsidR="00E25AFF" w:rsidRPr="00D8316B">
        <w:rPr>
          <w:sz w:val="28"/>
          <w:szCs w:val="28"/>
        </w:rPr>
        <w:t>.</w:t>
      </w:r>
    </w:p>
    <w:p w:rsidR="00976D93" w:rsidRPr="00570044" w:rsidRDefault="00976D93" w:rsidP="00A516DA">
      <w:pPr>
        <w:ind w:firstLine="709"/>
        <w:jc w:val="both"/>
        <w:rPr>
          <w:sz w:val="28"/>
          <w:szCs w:val="28"/>
        </w:rPr>
      </w:pPr>
      <w:r w:rsidRPr="00570044">
        <w:rPr>
          <w:sz w:val="28"/>
          <w:szCs w:val="28"/>
        </w:rPr>
        <w:t>Проведенные в 201</w:t>
      </w:r>
      <w:r w:rsidR="00E25AFF" w:rsidRPr="00570044">
        <w:rPr>
          <w:sz w:val="28"/>
          <w:szCs w:val="28"/>
        </w:rPr>
        <w:t>7</w:t>
      </w:r>
      <w:r w:rsidR="00826DEB" w:rsidRPr="00570044">
        <w:rPr>
          <w:sz w:val="28"/>
          <w:szCs w:val="28"/>
        </w:rPr>
        <w:t xml:space="preserve"> </w:t>
      </w:r>
      <w:r w:rsidRPr="00570044">
        <w:rPr>
          <w:sz w:val="28"/>
          <w:szCs w:val="28"/>
        </w:rPr>
        <w:t>-</w:t>
      </w:r>
      <w:r w:rsidR="00826DEB" w:rsidRPr="00570044">
        <w:rPr>
          <w:sz w:val="28"/>
          <w:szCs w:val="28"/>
        </w:rPr>
        <w:t xml:space="preserve"> </w:t>
      </w:r>
      <w:r w:rsidRPr="00570044">
        <w:rPr>
          <w:sz w:val="28"/>
          <w:szCs w:val="28"/>
        </w:rPr>
        <w:t>201</w:t>
      </w:r>
      <w:r w:rsidR="00E25AFF" w:rsidRPr="00570044">
        <w:rPr>
          <w:sz w:val="28"/>
          <w:szCs w:val="28"/>
        </w:rPr>
        <w:t>9</w:t>
      </w:r>
      <w:r w:rsidRPr="00570044">
        <w:rPr>
          <w:sz w:val="28"/>
          <w:szCs w:val="28"/>
        </w:rPr>
        <w:t xml:space="preserve"> годах мероприятия позволили </w:t>
      </w:r>
      <w:r w:rsidR="00963825" w:rsidRPr="00570044">
        <w:rPr>
          <w:sz w:val="28"/>
          <w:szCs w:val="28"/>
        </w:rPr>
        <w:t>сэкономить</w:t>
      </w:r>
      <w:r w:rsidRPr="00570044">
        <w:rPr>
          <w:sz w:val="28"/>
          <w:szCs w:val="28"/>
        </w:rPr>
        <w:t xml:space="preserve"> денежные средства</w:t>
      </w:r>
      <w:r w:rsidR="00963825" w:rsidRPr="00570044">
        <w:rPr>
          <w:sz w:val="28"/>
          <w:szCs w:val="28"/>
        </w:rPr>
        <w:t>, предусмотренные на обслуживание муниципального долга</w:t>
      </w:r>
      <w:r w:rsidR="00E86BAC" w:rsidRPr="00570044">
        <w:rPr>
          <w:sz w:val="28"/>
          <w:szCs w:val="28"/>
        </w:rPr>
        <w:t xml:space="preserve"> </w:t>
      </w:r>
      <w:r w:rsidRPr="00570044">
        <w:rPr>
          <w:sz w:val="28"/>
          <w:szCs w:val="28"/>
        </w:rPr>
        <w:t xml:space="preserve">в сумме </w:t>
      </w:r>
      <w:r w:rsidR="00570044" w:rsidRPr="00570044">
        <w:rPr>
          <w:sz w:val="28"/>
          <w:szCs w:val="28"/>
        </w:rPr>
        <w:t>35481,09</w:t>
      </w:r>
      <w:r w:rsidR="00963825" w:rsidRPr="00570044">
        <w:rPr>
          <w:sz w:val="28"/>
          <w:szCs w:val="28"/>
        </w:rPr>
        <w:t xml:space="preserve"> тыс</w:t>
      </w:r>
      <w:r w:rsidRPr="00570044">
        <w:rPr>
          <w:sz w:val="28"/>
          <w:szCs w:val="28"/>
        </w:rPr>
        <w:t>. рублей.</w:t>
      </w:r>
    </w:p>
    <w:p w:rsidR="002E33EB" w:rsidRPr="00D8316B" w:rsidRDefault="002E33EB" w:rsidP="002E33EB">
      <w:pPr>
        <w:ind w:firstLine="709"/>
        <w:jc w:val="both"/>
        <w:rPr>
          <w:sz w:val="28"/>
          <w:szCs w:val="28"/>
        </w:rPr>
      </w:pPr>
      <w:r w:rsidRPr="00D8316B">
        <w:rPr>
          <w:sz w:val="28"/>
          <w:szCs w:val="28"/>
        </w:rPr>
        <w:t>В 2020 году проведены 3 аукциона в целях рефинансирования действующих кредитов кредитных организаций на общую сумму 404</w:t>
      </w:r>
      <w:r>
        <w:rPr>
          <w:sz w:val="28"/>
          <w:szCs w:val="28"/>
        </w:rPr>
        <w:t> </w:t>
      </w:r>
      <w:r w:rsidRPr="00D8316B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D8316B">
        <w:rPr>
          <w:sz w:val="28"/>
          <w:szCs w:val="28"/>
        </w:rPr>
        <w:t>тыс. рублей (процентные ставки снижены с 7,5 процентов до 5,5 процентов).</w:t>
      </w:r>
    </w:p>
    <w:p w:rsidR="00E86BAC" w:rsidRPr="00A75A1F" w:rsidRDefault="00E86BAC" w:rsidP="00A516DA">
      <w:pPr>
        <w:ind w:firstLine="709"/>
        <w:jc w:val="both"/>
        <w:rPr>
          <w:sz w:val="28"/>
          <w:szCs w:val="28"/>
          <w:highlight w:val="yellow"/>
        </w:rPr>
      </w:pPr>
    </w:p>
    <w:p w:rsidR="00976D93" w:rsidRPr="005363CE" w:rsidRDefault="00225770" w:rsidP="00A516DA">
      <w:pPr>
        <w:jc w:val="center"/>
        <w:rPr>
          <w:sz w:val="28"/>
          <w:szCs w:val="28"/>
        </w:rPr>
      </w:pPr>
      <w:r w:rsidRPr="005363CE">
        <w:rPr>
          <w:sz w:val="28"/>
          <w:szCs w:val="28"/>
          <w:lang w:val="en-US"/>
        </w:rPr>
        <w:t>III</w:t>
      </w:r>
      <w:r w:rsidR="00976D93" w:rsidRPr="005363CE">
        <w:rPr>
          <w:sz w:val="28"/>
          <w:szCs w:val="28"/>
        </w:rPr>
        <w:t>. Основные факторы, определяющие характер и направления</w:t>
      </w:r>
      <w:r w:rsidR="00E86BAC" w:rsidRPr="005363CE">
        <w:rPr>
          <w:sz w:val="28"/>
          <w:szCs w:val="28"/>
        </w:rPr>
        <w:t xml:space="preserve"> </w:t>
      </w:r>
      <w:r w:rsidR="00976D93" w:rsidRPr="005363CE">
        <w:rPr>
          <w:sz w:val="28"/>
          <w:szCs w:val="28"/>
        </w:rPr>
        <w:t>долговой политики</w:t>
      </w:r>
      <w:r w:rsidR="00E86BAC" w:rsidRPr="005363CE">
        <w:rPr>
          <w:sz w:val="28"/>
          <w:szCs w:val="28"/>
        </w:rPr>
        <w:t xml:space="preserve"> города</w:t>
      </w:r>
    </w:p>
    <w:p w:rsidR="00225770" w:rsidRPr="005363CE" w:rsidRDefault="00225770" w:rsidP="00A516DA">
      <w:pPr>
        <w:jc w:val="center"/>
        <w:rPr>
          <w:sz w:val="28"/>
          <w:szCs w:val="28"/>
        </w:rPr>
      </w:pPr>
    </w:p>
    <w:p w:rsidR="00976D93" w:rsidRPr="005363CE" w:rsidRDefault="00976D93" w:rsidP="00A516DA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 xml:space="preserve">Основными факторами, определяющими характер и направления долговой политики </w:t>
      </w:r>
      <w:r w:rsidR="00E86BAC" w:rsidRPr="005363CE">
        <w:rPr>
          <w:sz w:val="28"/>
          <w:szCs w:val="28"/>
        </w:rPr>
        <w:t>города</w:t>
      </w:r>
      <w:r w:rsidRPr="005363CE">
        <w:rPr>
          <w:sz w:val="28"/>
          <w:szCs w:val="28"/>
        </w:rPr>
        <w:t>, являются:</w:t>
      </w:r>
    </w:p>
    <w:p w:rsidR="00976D93" w:rsidRPr="005363CE" w:rsidRDefault="00976D93" w:rsidP="00A516DA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>изменения, вносимые в бюджетное законодательство Российск</w:t>
      </w:r>
      <w:r w:rsidR="00342712" w:rsidRPr="005363CE">
        <w:rPr>
          <w:sz w:val="28"/>
          <w:szCs w:val="28"/>
        </w:rPr>
        <w:t>ой Федерации о налогах и сборах</w:t>
      </w:r>
      <w:r w:rsidR="00453539">
        <w:rPr>
          <w:sz w:val="28"/>
          <w:szCs w:val="28"/>
        </w:rPr>
        <w:t>, а также в Бюджетный кодекс Российской Федерации в связи преодолением последствий распространения новой корон</w:t>
      </w:r>
      <w:r w:rsidR="00CE4A7F">
        <w:rPr>
          <w:sz w:val="28"/>
          <w:szCs w:val="28"/>
        </w:rPr>
        <w:t>а</w:t>
      </w:r>
      <w:r w:rsidR="00453539">
        <w:rPr>
          <w:sz w:val="28"/>
          <w:szCs w:val="28"/>
        </w:rPr>
        <w:t>вирусной инфекции в 2020 году;</w:t>
      </w:r>
    </w:p>
    <w:p w:rsidR="00976D93" w:rsidRDefault="00976D93" w:rsidP="00A516DA">
      <w:pPr>
        <w:ind w:firstLine="709"/>
        <w:jc w:val="both"/>
        <w:rPr>
          <w:sz w:val="28"/>
          <w:szCs w:val="28"/>
        </w:rPr>
      </w:pPr>
      <w:proofErr w:type="gramStart"/>
      <w:r w:rsidRPr="005363CE">
        <w:rPr>
          <w:sz w:val="28"/>
          <w:szCs w:val="28"/>
        </w:rPr>
        <w:t xml:space="preserve">рост расходных обязательств </w:t>
      </w:r>
      <w:r w:rsidR="00EB072D" w:rsidRPr="005363CE">
        <w:rPr>
          <w:sz w:val="28"/>
          <w:szCs w:val="28"/>
        </w:rPr>
        <w:t>города вследствие приня</w:t>
      </w:r>
      <w:r w:rsidRPr="005363CE">
        <w:rPr>
          <w:sz w:val="28"/>
          <w:szCs w:val="28"/>
        </w:rPr>
        <w:t xml:space="preserve">тия </w:t>
      </w:r>
      <w:r w:rsidR="00745E82" w:rsidRPr="005363CE">
        <w:rPr>
          <w:sz w:val="28"/>
          <w:szCs w:val="28"/>
        </w:rPr>
        <w:t>решений о реализации задач, определенных Указом</w:t>
      </w:r>
      <w:r w:rsidRPr="005363CE">
        <w:rPr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CE4A7F">
        <w:rPr>
          <w:sz w:val="28"/>
          <w:szCs w:val="28"/>
        </w:rPr>
        <w:t xml:space="preserve"> и от 21 июля 2020 </w:t>
      </w:r>
      <w:r w:rsidR="00181866">
        <w:rPr>
          <w:sz w:val="28"/>
          <w:szCs w:val="28"/>
        </w:rPr>
        <w:t>года № 474 «О национальных целях развития Российской Федерации на период до 2030 года»</w:t>
      </w:r>
      <w:r w:rsidRPr="005363CE">
        <w:rPr>
          <w:sz w:val="28"/>
          <w:szCs w:val="28"/>
        </w:rPr>
        <w:t>;</w:t>
      </w:r>
      <w:proofErr w:type="gramEnd"/>
    </w:p>
    <w:p w:rsidR="00976D93" w:rsidRPr="00570044" w:rsidRDefault="00976D93" w:rsidP="00A516DA">
      <w:pPr>
        <w:ind w:firstLine="709"/>
        <w:jc w:val="both"/>
        <w:rPr>
          <w:sz w:val="28"/>
          <w:szCs w:val="28"/>
        </w:rPr>
      </w:pPr>
      <w:r w:rsidRPr="00570044">
        <w:rPr>
          <w:sz w:val="28"/>
          <w:szCs w:val="28"/>
        </w:rPr>
        <w:t>необходимость ежегодной индексации расходов бюджета</w:t>
      </w:r>
      <w:r w:rsidR="008B306E" w:rsidRPr="00570044">
        <w:rPr>
          <w:sz w:val="28"/>
          <w:szCs w:val="28"/>
        </w:rPr>
        <w:t xml:space="preserve"> города</w:t>
      </w:r>
      <w:r w:rsidRPr="00570044">
        <w:rPr>
          <w:sz w:val="28"/>
          <w:szCs w:val="28"/>
        </w:rPr>
        <w:t xml:space="preserve"> на выплату заработной платы работников бюджетной сф</w:t>
      </w:r>
      <w:r w:rsidR="008B306E" w:rsidRPr="00570044">
        <w:rPr>
          <w:sz w:val="28"/>
          <w:szCs w:val="28"/>
        </w:rPr>
        <w:t>еры и опл</w:t>
      </w:r>
      <w:r w:rsidR="00595346" w:rsidRPr="00570044">
        <w:rPr>
          <w:sz w:val="28"/>
          <w:szCs w:val="28"/>
        </w:rPr>
        <w:t>ату коммунальных услуг.</w:t>
      </w:r>
    </w:p>
    <w:p w:rsidR="00C35EFD" w:rsidRPr="00A75A1F" w:rsidRDefault="00C35EFD" w:rsidP="00A516DA">
      <w:pPr>
        <w:ind w:firstLine="709"/>
        <w:jc w:val="both"/>
        <w:rPr>
          <w:sz w:val="28"/>
          <w:szCs w:val="28"/>
          <w:highlight w:val="yellow"/>
        </w:rPr>
      </w:pPr>
    </w:p>
    <w:p w:rsidR="00976D93" w:rsidRPr="005363CE" w:rsidRDefault="00225770" w:rsidP="00A516DA">
      <w:pPr>
        <w:widowControl w:val="0"/>
        <w:tabs>
          <w:tab w:val="left" w:pos="2966"/>
        </w:tabs>
        <w:jc w:val="center"/>
        <w:rPr>
          <w:sz w:val="28"/>
          <w:szCs w:val="28"/>
        </w:rPr>
      </w:pPr>
      <w:r w:rsidRPr="005363CE">
        <w:rPr>
          <w:sz w:val="28"/>
          <w:szCs w:val="28"/>
          <w:lang w:val="en-US"/>
        </w:rPr>
        <w:t>IV</w:t>
      </w:r>
      <w:r w:rsidRPr="005363CE">
        <w:rPr>
          <w:sz w:val="28"/>
          <w:szCs w:val="28"/>
        </w:rPr>
        <w:t xml:space="preserve">. </w:t>
      </w:r>
      <w:r w:rsidR="00976D93" w:rsidRPr="005363CE">
        <w:rPr>
          <w:sz w:val="28"/>
          <w:szCs w:val="28"/>
        </w:rPr>
        <w:t>Цели и задачи долговой политики</w:t>
      </w:r>
      <w:r w:rsidR="00A516DA" w:rsidRPr="005363CE">
        <w:rPr>
          <w:sz w:val="28"/>
          <w:szCs w:val="28"/>
        </w:rPr>
        <w:t xml:space="preserve"> города</w:t>
      </w:r>
    </w:p>
    <w:p w:rsidR="00225770" w:rsidRPr="005363CE" w:rsidRDefault="00225770" w:rsidP="00A516DA">
      <w:pPr>
        <w:widowControl w:val="0"/>
        <w:tabs>
          <w:tab w:val="left" w:pos="2966"/>
        </w:tabs>
        <w:jc w:val="center"/>
        <w:rPr>
          <w:sz w:val="28"/>
          <w:szCs w:val="28"/>
        </w:rPr>
      </w:pPr>
    </w:p>
    <w:p w:rsidR="00976D93" w:rsidRPr="005363CE" w:rsidRDefault="00976D93" w:rsidP="00311017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>Цели долговой политики</w:t>
      </w:r>
      <w:r w:rsidR="00A516DA" w:rsidRPr="005363CE">
        <w:rPr>
          <w:sz w:val="28"/>
          <w:szCs w:val="28"/>
        </w:rPr>
        <w:t xml:space="preserve"> города</w:t>
      </w:r>
      <w:r w:rsidRPr="005363CE">
        <w:rPr>
          <w:sz w:val="28"/>
          <w:szCs w:val="28"/>
        </w:rPr>
        <w:t>:</w:t>
      </w:r>
    </w:p>
    <w:p w:rsidR="001239BA" w:rsidRPr="005363CE" w:rsidRDefault="001239BA" w:rsidP="00311017">
      <w:pPr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 xml:space="preserve">сохранение объема муниципального долга </w:t>
      </w:r>
      <w:r w:rsidR="00A516DA" w:rsidRPr="005363CE">
        <w:rPr>
          <w:sz w:val="28"/>
          <w:szCs w:val="28"/>
        </w:rPr>
        <w:t xml:space="preserve">города </w:t>
      </w:r>
      <w:r w:rsidRPr="005363CE">
        <w:rPr>
          <w:sz w:val="28"/>
          <w:szCs w:val="28"/>
        </w:rPr>
        <w:t>на оптимальном уровне;</w:t>
      </w:r>
    </w:p>
    <w:p w:rsidR="00EE6BF9" w:rsidRPr="005363CE" w:rsidRDefault="00EE6BF9" w:rsidP="003110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3CE">
        <w:rPr>
          <w:sz w:val="28"/>
          <w:szCs w:val="28"/>
        </w:rPr>
        <w:t xml:space="preserve">своевременное погашение долговых обязательств города, имеющих </w:t>
      </w:r>
      <w:r w:rsidRPr="005363CE">
        <w:rPr>
          <w:sz w:val="28"/>
          <w:szCs w:val="28"/>
        </w:rPr>
        <w:lastRenderedPageBreak/>
        <w:t>сроки погашения в 20</w:t>
      </w:r>
      <w:r w:rsidR="001D3DC3" w:rsidRPr="005363CE">
        <w:rPr>
          <w:sz w:val="28"/>
          <w:szCs w:val="28"/>
        </w:rPr>
        <w:t>2</w:t>
      </w:r>
      <w:r w:rsidR="005363CE" w:rsidRPr="005363CE">
        <w:rPr>
          <w:sz w:val="28"/>
          <w:szCs w:val="28"/>
        </w:rPr>
        <w:t>1</w:t>
      </w:r>
      <w:r w:rsidRPr="005363CE">
        <w:rPr>
          <w:sz w:val="28"/>
          <w:szCs w:val="28"/>
        </w:rPr>
        <w:t xml:space="preserve"> году и плановом периоде 202</w:t>
      </w:r>
      <w:r w:rsidR="005363CE" w:rsidRPr="005363CE">
        <w:rPr>
          <w:sz w:val="28"/>
          <w:szCs w:val="28"/>
        </w:rPr>
        <w:t>2</w:t>
      </w:r>
      <w:r w:rsidRPr="005363CE">
        <w:rPr>
          <w:sz w:val="28"/>
          <w:szCs w:val="28"/>
        </w:rPr>
        <w:t xml:space="preserve"> и 202</w:t>
      </w:r>
      <w:r w:rsidR="005363CE" w:rsidRPr="005363CE">
        <w:rPr>
          <w:sz w:val="28"/>
          <w:szCs w:val="28"/>
        </w:rPr>
        <w:t>3</w:t>
      </w:r>
      <w:r w:rsidRPr="005363CE">
        <w:rPr>
          <w:sz w:val="28"/>
          <w:szCs w:val="28"/>
        </w:rPr>
        <w:t xml:space="preserve"> годов;</w:t>
      </w:r>
    </w:p>
    <w:p w:rsidR="00976D93" w:rsidRPr="00570044" w:rsidRDefault="001D3DC3" w:rsidP="00311017">
      <w:pPr>
        <w:ind w:firstLine="709"/>
        <w:jc w:val="both"/>
        <w:rPr>
          <w:sz w:val="28"/>
          <w:szCs w:val="28"/>
        </w:rPr>
      </w:pPr>
      <w:r w:rsidRPr="00570044">
        <w:rPr>
          <w:sz w:val="28"/>
          <w:szCs w:val="28"/>
        </w:rPr>
        <w:t>минимизация</w:t>
      </w:r>
      <w:r w:rsidR="00976D93" w:rsidRPr="00570044">
        <w:rPr>
          <w:sz w:val="28"/>
          <w:szCs w:val="28"/>
        </w:rPr>
        <w:t xml:space="preserve"> расходов бюджета </w:t>
      </w:r>
      <w:r w:rsidR="00697513" w:rsidRPr="00570044">
        <w:rPr>
          <w:sz w:val="28"/>
          <w:szCs w:val="28"/>
        </w:rPr>
        <w:t xml:space="preserve">города </w:t>
      </w:r>
      <w:r w:rsidR="00976D93" w:rsidRPr="00570044">
        <w:rPr>
          <w:sz w:val="28"/>
          <w:szCs w:val="28"/>
        </w:rPr>
        <w:t xml:space="preserve">по обслуживанию </w:t>
      </w:r>
      <w:r w:rsidR="00697513" w:rsidRPr="00570044">
        <w:rPr>
          <w:sz w:val="28"/>
          <w:szCs w:val="28"/>
        </w:rPr>
        <w:t>муниципального</w:t>
      </w:r>
      <w:r w:rsidR="00976D93" w:rsidRPr="00570044">
        <w:rPr>
          <w:sz w:val="28"/>
          <w:szCs w:val="28"/>
        </w:rPr>
        <w:t xml:space="preserve"> долга</w:t>
      </w:r>
      <w:r w:rsidR="00570044" w:rsidRPr="00570044">
        <w:rPr>
          <w:sz w:val="28"/>
          <w:szCs w:val="28"/>
        </w:rPr>
        <w:t>.</w:t>
      </w:r>
    </w:p>
    <w:p w:rsidR="00976D93" w:rsidRPr="0027425E" w:rsidRDefault="00976D93" w:rsidP="00311017">
      <w:pPr>
        <w:ind w:firstLine="709"/>
        <w:jc w:val="both"/>
        <w:rPr>
          <w:sz w:val="28"/>
          <w:szCs w:val="28"/>
        </w:rPr>
      </w:pPr>
      <w:r w:rsidRPr="0027425E">
        <w:rPr>
          <w:sz w:val="28"/>
          <w:szCs w:val="28"/>
        </w:rPr>
        <w:t>Задачи долговой политики</w:t>
      </w:r>
      <w:r w:rsidR="00A516DA" w:rsidRPr="0027425E">
        <w:rPr>
          <w:sz w:val="28"/>
          <w:szCs w:val="28"/>
        </w:rPr>
        <w:t xml:space="preserve"> города</w:t>
      </w:r>
      <w:r w:rsidRPr="0027425E">
        <w:rPr>
          <w:sz w:val="28"/>
          <w:szCs w:val="28"/>
        </w:rPr>
        <w:t>:</w:t>
      </w:r>
    </w:p>
    <w:p w:rsidR="00976D93" w:rsidRPr="0027425E" w:rsidRDefault="00976D93" w:rsidP="00311017">
      <w:pPr>
        <w:ind w:firstLine="709"/>
        <w:jc w:val="both"/>
        <w:rPr>
          <w:sz w:val="28"/>
          <w:szCs w:val="28"/>
        </w:rPr>
      </w:pPr>
      <w:proofErr w:type="gramStart"/>
      <w:r w:rsidRPr="0027425E">
        <w:rPr>
          <w:sz w:val="28"/>
          <w:szCs w:val="28"/>
        </w:rPr>
        <w:t xml:space="preserve">обеспечение размера дефицита бюджета </w:t>
      </w:r>
      <w:r w:rsidR="00EE6BF9" w:rsidRPr="0027425E">
        <w:rPr>
          <w:sz w:val="28"/>
          <w:szCs w:val="28"/>
        </w:rPr>
        <w:t xml:space="preserve">города </w:t>
      </w:r>
      <w:r w:rsidRPr="0027425E">
        <w:rPr>
          <w:sz w:val="28"/>
          <w:szCs w:val="28"/>
        </w:rPr>
        <w:t>в 20</w:t>
      </w:r>
      <w:r w:rsidR="001D3DC3" w:rsidRPr="0027425E">
        <w:rPr>
          <w:sz w:val="28"/>
          <w:szCs w:val="28"/>
        </w:rPr>
        <w:t>2</w:t>
      </w:r>
      <w:r w:rsidR="005363CE" w:rsidRPr="0027425E">
        <w:rPr>
          <w:sz w:val="28"/>
          <w:szCs w:val="28"/>
        </w:rPr>
        <w:t>1</w:t>
      </w:r>
      <w:r w:rsidR="002051D1" w:rsidRPr="0027425E">
        <w:rPr>
          <w:sz w:val="28"/>
          <w:szCs w:val="28"/>
        </w:rPr>
        <w:t xml:space="preserve"> </w:t>
      </w:r>
      <w:r w:rsidRPr="0027425E">
        <w:rPr>
          <w:sz w:val="28"/>
          <w:szCs w:val="28"/>
        </w:rPr>
        <w:t>-</w:t>
      </w:r>
      <w:r w:rsidR="002051D1" w:rsidRPr="0027425E">
        <w:rPr>
          <w:sz w:val="28"/>
          <w:szCs w:val="28"/>
        </w:rPr>
        <w:t xml:space="preserve"> </w:t>
      </w:r>
      <w:r w:rsidRPr="0027425E">
        <w:rPr>
          <w:sz w:val="28"/>
          <w:szCs w:val="28"/>
        </w:rPr>
        <w:t>202</w:t>
      </w:r>
      <w:r w:rsidR="005363CE" w:rsidRPr="0027425E">
        <w:rPr>
          <w:sz w:val="28"/>
          <w:szCs w:val="28"/>
        </w:rPr>
        <w:t>3</w:t>
      </w:r>
      <w:r w:rsidRPr="0027425E">
        <w:rPr>
          <w:sz w:val="28"/>
          <w:szCs w:val="28"/>
        </w:rPr>
        <w:t xml:space="preserve"> годах на уровне не более </w:t>
      </w:r>
      <w:r w:rsidR="0027425E" w:rsidRPr="0027425E">
        <w:rPr>
          <w:sz w:val="28"/>
          <w:szCs w:val="28"/>
        </w:rPr>
        <w:t>10</w:t>
      </w:r>
      <w:r w:rsidRPr="0027425E">
        <w:rPr>
          <w:sz w:val="28"/>
          <w:szCs w:val="28"/>
        </w:rPr>
        <w:t xml:space="preserve">,0 процента от суммы доходов бюджета </w:t>
      </w:r>
      <w:r w:rsidR="00EE6BF9" w:rsidRPr="0027425E">
        <w:rPr>
          <w:sz w:val="28"/>
          <w:szCs w:val="28"/>
        </w:rPr>
        <w:t xml:space="preserve">города </w:t>
      </w:r>
      <w:r w:rsidRPr="0027425E">
        <w:rPr>
          <w:sz w:val="28"/>
          <w:szCs w:val="28"/>
        </w:rPr>
        <w:t>без учета объема безвозмездных поступлений за 20</w:t>
      </w:r>
      <w:r w:rsidR="001D3DC3" w:rsidRPr="0027425E">
        <w:rPr>
          <w:sz w:val="28"/>
          <w:szCs w:val="28"/>
        </w:rPr>
        <w:t>2</w:t>
      </w:r>
      <w:r w:rsidR="005363CE" w:rsidRPr="0027425E">
        <w:rPr>
          <w:sz w:val="28"/>
          <w:szCs w:val="28"/>
        </w:rPr>
        <w:t>1</w:t>
      </w:r>
      <w:r w:rsidR="002051D1" w:rsidRPr="0027425E">
        <w:rPr>
          <w:sz w:val="28"/>
          <w:szCs w:val="28"/>
        </w:rPr>
        <w:t xml:space="preserve"> </w:t>
      </w:r>
      <w:r w:rsidRPr="0027425E">
        <w:rPr>
          <w:sz w:val="28"/>
          <w:szCs w:val="28"/>
        </w:rPr>
        <w:t>-</w:t>
      </w:r>
      <w:r w:rsidR="002051D1" w:rsidRPr="0027425E">
        <w:rPr>
          <w:sz w:val="28"/>
          <w:szCs w:val="28"/>
        </w:rPr>
        <w:t xml:space="preserve"> </w:t>
      </w:r>
      <w:r w:rsidRPr="0027425E">
        <w:rPr>
          <w:sz w:val="28"/>
          <w:szCs w:val="28"/>
        </w:rPr>
        <w:t>202</w:t>
      </w:r>
      <w:r w:rsidR="005363CE" w:rsidRPr="0027425E">
        <w:rPr>
          <w:sz w:val="28"/>
          <w:szCs w:val="28"/>
        </w:rPr>
        <w:t>3</w:t>
      </w:r>
      <w:r w:rsidRPr="0027425E">
        <w:rPr>
          <w:sz w:val="28"/>
          <w:szCs w:val="28"/>
        </w:rPr>
        <w:t xml:space="preserve"> годы соответственно (значение может быть превышено на сумму изменения остатков средств бюджета</w:t>
      </w:r>
      <w:r w:rsidR="00EE6BF9" w:rsidRPr="0027425E">
        <w:rPr>
          <w:sz w:val="28"/>
          <w:szCs w:val="28"/>
        </w:rPr>
        <w:t xml:space="preserve"> города</w:t>
      </w:r>
      <w:r w:rsidRPr="0027425E">
        <w:rPr>
          <w:sz w:val="28"/>
          <w:szCs w:val="28"/>
        </w:rPr>
        <w:t xml:space="preserve">, которые в рамках разработки проекта изменений в </w:t>
      </w:r>
      <w:r w:rsidR="00EE6BF9" w:rsidRPr="0027425E">
        <w:rPr>
          <w:sz w:val="28"/>
          <w:szCs w:val="28"/>
        </w:rPr>
        <w:t>решение Думы города о бюджете города</w:t>
      </w:r>
      <w:r w:rsidRPr="0027425E">
        <w:rPr>
          <w:sz w:val="28"/>
          <w:szCs w:val="28"/>
        </w:rPr>
        <w:t xml:space="preserve"> на текущий финансовый год и плановый</w:t>
      </w:r>
      <w:proofErr w:type="gramEnd"/>
      <w:r w:rsidRPr="0027425E">
        <w:rPr>
          <w:sz w:val="28"/>
          <w:szCs w:val="28"/>
        </w:rPr>
        <w:t xml:space="preserve"> период не были учтены в первоначальной редакции </w:t>
      </w:r>
      <w:r w:rsidR="00DF0E53" w:rsidRPr="0027425E">
        <w:rPr>
          <w:sz w:val="28"/>
          <w:szCs w:val="28"/>
        </w:rPr>
        <w:t>решения Думы города</w:t>
      </w:r>
      <w:r w:rsidRPr="0027425E">
        <w:rPr>
          <w:sz w:val="28"/>
          <w:szCs w:val="28"/>
        </w:rPr>
        <w:t xml:space="preserve"> о бюджете </w:t>
      </w:r>
      <w:r w:rsidR="00DF0E53" w:rsidRPr="0027425E">
        <w:rPr>
          <w:sz w:val="28"/>
          <w:szCs w:val="28"/>
        </w:rPr>
        <w:t xml:space="preserve">города </w:t>
      </w:r>
      <w:r w:rsidRPr="0027425E">
        <w:rPr>
          <w:sz w:val="28"/>
          <w:szCs w:val="28"/>
        </w:rPr>
        <w:t>на текущий финансовый год и плановый период);</w:t>
      </w:r>
    </w:p>
    <w:p w:rsidR="00EB072D" w:rsidRPr="0027425E" w:rsidRDefault="00EB072D" w:rsidP="003110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25E">
        <w:rPr>
          <w:sz w:val="28"/>
          <w:szCs w:val="28"/>
        </w:rPr>
        <w:t xml:space="preserve">обеспечение </w:t>
      </w:r>
      <w:r w:rsidR="0027425E" w:rsidRPr="0027425E">
        <w:rPr>
          <w:sz w:val="28"/>
          <w:szCs w:val="28"/>
        </w:rPr>
        <w:t xml:space="preserve">доли </w:t>
      </w:r>
      <w:r w:rsidRPr="0027425E">
        <w:rPr>
          <w:sz w:val="28"/>
          <w:szCs w:val="28"/>
        </w:rPr>
        <w:t>объема</w:t>
      </w:r>
      <w:r w:rsidR="00CE4A7F">
        <w:rPr>
          <w:sz w:val="28"/>
          <w:szCs w:val="28"/>
        </w:rPr>
        <w:t xml:space="preserve"> долговых обязательств города в </w:t>
      </w:r>
      <w:r w:rsidRPr="0027425E">
        <w:rPr>
          <w:sz w:val="28"/>
          <w:szCs w:val="28"/>
        </w:rPr>
        <w:t>20</w:t>
      </w:r>
      <w:r w:rsidR="001D3DC3" w:rsidRPr="0027425E">
        <w:rPr>
          <w:sz w:val="28"/>
          <w:szCs w:val="28"/>
        </w:rPr>
        <w:t>2</w:t>
      </w:r>
      <w:r w:rsidR="005363CE" w:rsidRPr="0027425E">
        <w:rPr>
          <w:sz w:val="28"/>
          <w:szCs w:val="28"/>
        </w:rPr>
        <w:t>1</w:t>
      </w:r>
      <w:r w:rsidR="00CE4A7F">
        <w:rPr>
          <w:sz w:val="28"/>
          <w:szCs w:val="28"/>
        </w:rPr>
        <w:t> - </w:t>
      </w:r>
      <w:r w:rsidRPr="0027425E">
        <w:rPr>
          <w:sz w:val="28"/>
          <w:szCs w:val="28"/>
        </w:rPr>
        <w:t>202</w:t>
      </w:r>
      <w:r w:rsidR="005363CE" w:rsidRPr="0027425E">
        <w:rPr>
          <w:sz w:val="28"/>
          <w:szCs w:val="28"/>
        </w:rPr>
        <w:t>3</w:t>
      </w:r>
      <w:r w:rsidR="00CE4A7F">
        <w:rPr>
          <w:sz w:val="28"/>
          <w:szCs w:val="28"/>
        </w:rPr>
        <w:t> </w:t>
      </w:r>
      <w:r w:rsidRPr="0027425E">
        <w:rPr>
          <w:sz w:val="28"/>
          <w:szCs w:val="28"/>
        </w:rPr>
        <w:t>годах не выше 50 процентов от объема доходов бюджета города без учета объема безвозмездных поступлений за 20</w:t>
      </w:r>
      <w:r w:rsidR="001D3DC3" w:rsidRPr="0027425E">
        <w:rPr>
          <w:sz w:val="28"/>
          <w:szCs w:val="28"/>
        </w:rPr>
        <w:t>2</w:t>
      </w:r>
      <w:r w:rsidR="0027425E" w:rsidRPr="0027425E">
        <w:rPr>
          <w:sz w:val="28"/>
          <w:szCs w:val="28"/>
        </w:rPr>
        <w:t>1</w:t>
      </w:r>
      <w:r w:rsidR="002051D1" w:rsidRPr="0027425E">
        <w:rPr>
          <w:sz w:val="28"/>
          <w:szCs w:val="28"/>
        </w:rPr>
        <w:t xml:space="preserve"> </w:t>
      </w:r>
      <w:r w:rsidRPr="0027425E">
        <w:rPr>
          <w:sz w:val="28"/>
          <w:szCs w:val="28"/>
        </w:rPr>
        <w:t>-</w:t>
      </w:r>
      <w:r w:rsidR="002051D1" w:rsidRPr="0027425E">
        <w:rPr>
          <w:sz w:val="28"/>
          <w:szCs w:val="28"/>
        </w:rPr>
        <w:t xml:space="preserve"> </w:t>
      </w:r>
      <w:r w:rsidRPr="0027425E">
        <w:rPr>
          <w:sz w:val="28"/>
          <w:szCs w:val="28"/>
        </w:rPr>
        <w:t>202</w:t>
      </w:r>
      <w:r w:rsidR="0027425E" w:rsidRPr="0027425E">
        <w:rPr>
          <w:sz w:val="28"/>
          <w:szCs w:val="28"/>
        </w:rPr>
        <w:t>3</w:t>
      </w:r>
      <w:r w:rsidRPr="0027425E">
        <w:rPr>
          <w:sz w:val="28"/>
          <w:szCs w:val="28"/>
        </w:rPr>
        <w:t xml:space="preserve"> годы соответственно.</w:t>
      </w:r>
    </w:p>
    <w:p w:rsidR="001D3DC3" w:rsidRPr="0027425E" w:rsidRDefault="001D3DC3" w:rsidP="00311017">
      <w:pPr>
        <w:ind w:firstLine="709"/>
        <w:jc w:val="both"/>
        <w:rPr>
          <w:sz w:val="28"/>
          <w:szCs w:val="28"/>
        </w:rPr>
      </w:pPr>
      <w:r w:rsidRPr="0027425E">
        <w:rPr>
          <w:sz w:val="28"/>
          <w:szCs w:val="28"/>
        </w:rPr>
        <w:t xml:space="preserve">Достижение целей и решение задач долговой политики </w:t>
      </w:r>
      <w:r w:rsidR="00A516DA" w:rsidRPr="0027425E">
        <w:rPr>
          <w:sz w:val="28"/>
          <w:szCs w:val="28"/>
        </w:rPr>
        <w:t xml:space="preserve">города </w:t>
      </w:r>
      <w:r w:rsidRPr="0027425E">
        <w:rPr>
          <w:sz w:val="28"/>
          <w:szCs w:val="28"/>
        </w:rPr>
        <w:t>осуществляются путем выполнения комплекса мероприятий, сгруппированных по следующим основным направлениям:</w:t>
      </w:r>
    </w:p>
    <w:p w:rsidR="001D3DC3" w:rsidRPr="0027425E" w:rsidRDefault="00A516DA" w:rsidP="00311017">
      <w:pPr>
        <w:widowControl w:val="0"/>
        <w:ind w:firstLine="709"/>
        <w:jc w:val="both"/>
        <w:rPr>
          <w:sz w:val="28"/>
          <w:szCs w:val="28"/>
        </w:rPr>
      </w:pPr>
      <w:r w:rsidRPr="0027425E">
        <w:rPr>
          <w:sz w:val="28"/>
          <w:szCs w:val="28"/>
        </w:rPr>
        <w:t xml:space="preserve">1. </w:t>
      </w:r>
      <w:r w:rsidR="001D3DC3" w:rsidRPr="0027425E">
        <w:rPr>
          <w:sz w:val="28"/>
          <w:szCs w:val="28"/>
        </w:rPr>
        <w:t>Сохранение объема муниципального долга</w:t>
      </w:r>
      <w:r w:rsidRPr="0027425E">
        <w:rPr>
          <w:sz w:val="28"/>
          <w:szCs w:val="28"/>
        </w:rPr>
        <w:t xml:space="preserve"> </w:t>
      </w:r>
      <w:r w:rsidR="001D3DC3" w:rsidRPr="0027425E">
        <w:rPr>
          <w:sz w:val="28"/>
          <w:szCs w:val="28"/>
        </w:rPr>
        <w:t>на оптимальном уровне, в том числе за счет:</w:t>
      </w:r>
    </w:p>
    <w:p w:rsidR="001D3DC3" w:rsidRPr="0027425E" w:rsidRDefault="001D3DC3" w:rsidP="00311017">
      <w:pPr>
        <w:ind w:firstLine="709"/>
        <w:jc w:val="both"/>
        <w:rPr>
          <w:sz w:val="28"/>
          <w:szCs w:val="28"/>
        </w:rPr>
      </w:pPr>
      <w:r w:rsidRPr="0027425E">
        <w:rPr>
          <w:sz w:val="28"/>
          <w:szCs w:val="28"/>
        </w:rPr>
        <w:t>проведения мероприятий, направленных на рост доходной части и оптимизацию расходной части бюджета города</w:t>
      </w:r>
      <w:r w:rsidR="002051D1" w:rsidRPr="0027425E">
        <w:rPr>
          <w:sz w:val="28"/>
          <w:szCs w:val="28"/>
        </w:rPr>
        <w:t>;</w:t>
      </w:r>
    </w:p>
    <w:p w:rsidR="001D3DC3" w:rsidRPr="0027425E" w:rsidRDefault="001D3DC3" w:rsidP="00311017">
      <w:pPr>
        <w:ind w:firstLine="709"/>
        <w:jc w:val="both"/>
        <w:rPr>
          <w:sz w:val="28"/>
          <w:szCs w:val="28"/>
        </w:rPr>
      </w:pPr>
      <w:r w:rsidRPr="0027425E">
        <w:rPr>
          <w:sz w:val="28"/>
          <w:szCs w:val="28"/>
        </w:rPr>
        <w:t>осуществления мониторинга использования бюджетных ассигнований получателями средств бюджета города в целях своевременного принятия решения о сокращении невостребованных бюджетных ассигнований и объема заимствований при исполнении бюджета города;</w:t>
      </w:r>
    </w:p>
    <w:p w:rsidR="001D3DC3" w:rsidRPr="0027425E" w:rsidRDefault="001D3DC3" w:rsidP="00311017">
      <w:pPr>
        <w:ind w:firstLine="709"/>
        <w:jc w:val="both"/>
        <w:rPr>
          <w:sz w:val="28"/>
          <w:szCs w:val="28"/>
        </w:rPr>
      </w:pPr>
      <w:proofErr w:type="gramStart"/>
      <w:r w:rsidRPr="0027425E">
        <w:rPr>
          <w:sz w:val="28"/>
          <w:szCs w:val="28"/>
        </w:rPr>
        <w:t>направления остатков средств на едином счете бюджета города (без учета безвозмездных поступлений, имеющих целевое значение и подлежащих возврату в доход федерального бюджета и краевого бюджетов), образовавшихся на начало текущего финансового года, и дополнительных доходов, поступивших сверх утвержденных годовых назначений, при исполнении бюджета города на сокращение дефицита бюджета города в целях снижения объема муниципального долга.</w:t>
      </w:r>
      <w:proofErr w:type="gramEnd"/>
    </w:p>
    <w:p w:rsidR="001D3DC3" w:rsidRPr="00FE631D" w:rsidRDefault="00A516DA" w:rsidP="00311017">
      <w:pPr>
        <w:widowControl w:val="0"/>
        <w:ind w:firstLine="709"/>
        <w:jc w:val="both"/>
        <w:rPr>
          <w:sz w:val="28"/>
          <w:szCs w:val="28"/>
        </w:rPr>
      </w:pPr>
      <w:r w:rsidRPr="00FE631D">
        <w:rPr>
          <w:sz w:val="28"/>
          <w:szCs w:val="28"/>
        </w:rPr>
        <w:t xml:space="preserve">2. </w:t>
      </w:r>
      <w:r w:rsidR="001D3DC3" w:rsidRPr="00FE631D">
        <w:rPr>
          <w:sz w:val="28"/>
          <w:szCs w:val="28"/>
        </w:rPr>
        <w:t xml:space="preserve">Минимизация </w:t>
      </w:r>
      <w:r w:rsidR="00F54473" w:rsidRPr="00FE631D">
        <w:rPr>
          <w:sz w:val="28"/>
          <w:szCs w:val="28"/>
        </w:rPr>
        <w:t>расходов бюджета города по обслуживанию</w:t>
      </w:r>
      <w:r w:rsidR="001D3DC3" w:rsidRPr="00FE631D">
        <w:rPr>
          <w:sz w:val="28"/>
          <w:szCs w:val="28"/>
        </w:rPr>
        <w:t xml:space="preserve"> муниципального долга, в том числе за счет:</w:t>
      </w:r>
    </w:p>
    <w:p w:rsidR="001D3DC3" w:rsidRPr="00FE631D" w:rsidRDefault="001D3DC3" w:rsidP="00311017">
      <w:pPr>
        <w:ind w:firstLine="709"/>
        <w:jc w:val="both"/>
        <w:rPr>
          <w:sz w:val="28"/>
          <w:szCs w:val="28"/>
        </w:rPr>
      </w:pPr>
      <w:r w:rsidRPr="00FE631D">
        <w:rPr>
          <w:sz w:val="28"/>
          <w:szCs w:val="28"/>
        </w:rPr>
        <w:t>привлечения из федерального бюджета бюджетных кредитов на пополнение остатков средств бюджета города в целях сокращения сроков использования кредитов, полученных от кредитных организаций;</w:t>
      </w:r>
    </w:p>
    <w:p w:rsidR="001D3DC3" w:rsidRPr="0027425E" w:rsidRDefault="001D3DC3" w:rsidP="00311017">
      <w:pPr>
        <w:ind w:firstLine="709"/>
        <w:jc w:val="both"/>
        <w:rPr>
          <w:sz w:val="28"/>
          <w:szCs w:val="28"/>
        </w:rPr>
      </w:pPr>
      <w:r w:rsidRPr="0027425E">
        <w:rPr>
          <w:sz w:val="28"/>
          <w:szCs w:val="28"/>
        </w:rPr>
        <w:t>привлечения временно свободных средств муниципальных учреждений города в целях сокращения сроков использования кредитов, полу</w:t>
      </w:r>
      <w:r w:rsidR="00342712" w:rsidRPr="0027425E">
        <w:rPr>
          <w:sz w:val="28"/>
          <w:szCs w:val="28"/>
        </w:rPr>
        <w:t>ченных от кредитных организаций;</w:t>
      </w:r>
    </w:p>
    <w:p w:rsidR="00342712" w:rsidRPr="0027425E" w:rsidRDefault="00342712" w:rsidP="00311017">
      <w:pPr>
        <w:ind w:firstLine="709"/>
        <w:jc w:val="both"/>
        <w:rPr>
          <w:sz w:val="28"/>
          <w:szCs w:val="28"/>
        </w:rPr>
      </w:pPr>
      <w:r w:rsidRPr="0027425E">
        <w:rPr>
          <w:sz w:val="28"/>
          <w:szCs w:val="28"/>
        </w:rPr>
        <w:t>рефинансирования долговых обязательств города в целях снижения процентных ставок за пользование заемными средствами.</w:t>
      </w:r>
    </w:p>
    <w:p w:rsidR="00976D93" w:rsidRPr="00FE631D" w:rsidRDefault="00225770" w:rsidP="00CE4A7F">
      <w:pPr>
        <w:widowControl w:val="0"/>
        <w:jc w:val="center"/>
        <w:rPr>
          <w:sz w:val="28"/>
          <w:szCs w:val="28"/>
        </w:rPr>
      </w:pPr>
      <w:r w:rsidRPr="00FE631D">
        <w:rPr>
          <w:sz w:val="28"/>
          <w:szCs w:val="28"/>
          <w:lang w:val="en-US"/>
        </w:rPr>
        <w:lastRenderedPageBreak/>
        <w:t>V</w:t>
      </w:r>
      <w:r w:rsidRPr="00FE631D">
        <w:rPr>
          <w:sz w:val="28"/>
          <w:szCs w:val="28"/>
        </w:rPr>
        <w:t xml:space="preserve">. </w:t>
      </w:r>
      <w:r w:rsidR="00976D93" w:rsidRPr="00FE631D">
        <w:rPr>
          <w:sz w:val="28"/>
          <w:szCs w:val="28"/>
        </w:rPr>
        <w:t>Инструменты долговой политики</w:t>
      </w:r>
      <w:r w:rsidR="00A516DA" w:rsidRPr="00FE631D">
        <w:rPr>
          <w:sz w:val="28"/>
          <w:szCs w:val="28"/>
        </w:rPr>
        <w:t xml:space="preserve"> города</w:t>
      </w:r>
    </w:p>
    <w:p w:rsidR="00225770" w:rsidRPr="00FE631D" w:rsidRDefault="00225770" w:rsidP="00A516DA">
      <w:pPr>
        <w:widowControl w:val="0"/>
        <w:tabs>
          <w:tab w:val="left" w:pos="2959"/>
        </w:tabs>
        <w:jc w:val="center"/>
        <w:rPr>
          <w:sz w:val="28"/>
          <w:szCs w:val="28"/>
        </w:rPr>
      </w:pPr>
    </w:p>
    <w:p w:rsidR="00697513" w:rsidRPr="00FE631D" w:rsidRDefault="00976D93" w:rsidP="00A516DA">
      <w:pPr>
        <w:ind w:firstLine="709"/>
        <w:rPr>
          <w:sz w:val="28"/>
          <w:szCs w:val="28"/>
        </w:rPr>
      </w:pPr>
      <w:r w:rsidRPr="00FE631D">
        <w:rPr>
          <w:sz w:val="28"/>
          <w:szCs w:val="28"/>
        </w:rPr>
        <w:t xml:space="preserve">Инструментами долговой политики </w:t>
      </w:r>
      <w:r w:rsidR="00A516DA" w:rsidRPr="00FE631D">
        <w:rPr>
          <w:sz w:val="28"/>
          <w:szCs w:val="28"/>
        </w:rPr>
        <w:t xml:space="preserve">города </w:t>
      </w:r>
      <w:r w:rsidRPr="00FE631D">
        <w:rPr>
          <w:sz w:val="28"/>
          <w:szCs w:val="28"/>
        </w:rPr>
        <w:t>являются:</w:t>
      </w:r>
    </w:p>
    <w:p w:rsidR="00976D93" w:rsidRPr="00FE631D" w:rsidRDefault="00976D93" w:rsidP="00A516DA">
      <w:pPr>
        <w:ind w:firstLine="709"/>
        <w:rPr>
          <w:sz w:val="28"/>
          <w:szCs w:val="28"/>
        </w:rPr>
      </w:pPr>
      <w:r w:rsidRPr="00FE631D">
        <w:rPr>
          <w:sz w:val="28"/>
          <w:szCs w:val="28"/>
        </w:rPr>
        <w:t>кредиты кредитных организаций;</w:t>
      </w:r>
    </w:p>
    <w:p w:rsidR="00976D93" w:rsidRPr="00FE631D" w:rsidRDefault="00976D93" w:rsidP="00A516DA">
      <w:pPr>
        <w:ind w:firstLine="709"/>
        <w:jc w:val="both"/>
        <w:rPr>
          <w:sz w:val="28"/>
          <w:szCs w:val="28"/>
        </w:rPr>
      </w:pPr>
      <w:r w:rsidRPr="00FE631D">
        <w:rPr>
          <w:sz w:val="28"/>
          <w:szCs w:val="28"/>
        </w:rPr>
        <w:t xml:space="preserve">бюджетные кредиты, получаемые от </w:t>
      </w:r>
      <w:r w:rsidR="00697513" w:rsidRPr="00FE631D">
        <w:rPr>
          <w:sz w:val="28"/>
          <w:szCs w:val="28"/>
        </w:rPr>
        <w:t xml:space="preserve">других </w:t>
      </w:r>
      <w:r w:rsidRPr="00FE631D">
        <w:rPr>
          <w:sz w:val="28"/>
          <w:szCs w:val="28"/>
        </w:rPr>
        <w:t>бюджетов бюджетн</w:t>
      </w:r>
      <w:r w:rsidR="001239BA" w:rsidRPr="00FE631D">
        <w:rPr>
          <w:sz w:val="28"/>
          <w:szCs w:val="28"/>
        </w:rPr>
        <w:t>ой системы Российской Федерации.</w:t>
      </w:r>
    </w:p>
    <w:p w:rsidR="00697513" w:rsidRPr="00A75A1F" w:rsidRDefault="00697513" w:rsidP="00A516DA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:rsidR="00976D93" w:rsidRPr="000C4A3B" w:rsidRDefault="00225770" w:rsidP="00A516DA">
      <w:pPr>
        <w:widowControl w:val="0"/>
        <w:tabs>
          <w:tab w:val="left" w:pos="2453"/>
        </w:tabs>
        <w:jc w:val="center"/>
        <w:rPr>
          <w:sz w:val="28"/>
          <w:szCs w:val="28"/>
        </w:rPr>
      </w:pPr>
      <w:r w:rsidRPr="000C4A3B">
        <w:rPr>
          <w:sz w:val="28"/>
          <w:szCs w:val="28"/>
          <w:lang w:val="en-US"/>
        </w:rPr>
        <w:t>VI</w:t>
      </w:r>
      <w:r w:rsidRPr="000C4A3B">
        <w:rPr>
          <w:sz w:val="28"/>
          <w:szCs w:val="28"/>
        </w:rPr>
        <w:t xml:space="preserve">. </w:t>
      </w:r>
      <w:r w:rsidR="00976D93" w:rsidRPr="000C4A3B">
        <w:rPr>
          <w:sz w:val="28"/>
          <w:szCs w:val="28"/>
        </w:rPr>
        <w:t>Основные риски, связанные с реализацией</w:t>
      </w:r>
      <w:r w:rsidRPr="000C4A3B">
        <w:rPr>
          <w:sz w:val="28"/>
          <w:szCs w:val="28"/>
        </w:rPr>
        <w:t xml:space="preserve"> </w:t>
      </w:r>
      <w:r w:rsidR="00976D93" w:rsidRPr="000C4A3B">
        <w:rPr>
          <w:sz w:val="28"/>
          <w:szCs w:val="28"/>
        </w:rPr>
        <w:t>долговой политики</w:t>
      </w:r>
      <w:r w:rsidR="00A516DA" w:rsidRPr="000C4A3B">
        <w:rPr>
          <w:sz w:val="28"/>
          <w:szCs w:val="28"/>
        </w:rPr>
        <w:t xml:space="preserve"> города</w:t>
      </w:r>
    </w:p>
    <w:p w:rsidR="00976D93" w:rsidRPr="000C4A3B" w:rsidRDefault="00976D93" w:rsidP="00A516DA">
      <w:pPr>
        <w:widowControl w:val="0"/>
        <w:tabs>
          <w:tab w:val="left" w:pos="2453"/>
        </w:tabs>
        <w:ind w:firstLine="709"/>
        <w:jc w:val="center"/>
        <w:rPr>
          <w:sz w:val="28"/>
          <w:szCs w:val="28"/>
        </w:rPr>
      </w:pPr>
    </w:p>
    <w:p w:rsidR="00976D93" w:rsidRPr="00200A85" w:rsidRDefault="00976D93" w:rsidP="00A516DA">
      <w:pPr>
        <w:ind w:firstLine="709"/>
        <w:jc w:val="both"/>
        <w:rPr>
          <w:sz w:val="28"/>
          <w:szCs w:val="28"/>
        </w:rPr>
      </w:pPr>
      <w:r w:rsidRPr="00200A85">
        <w:rPr>
          <w:sz w:val="28"/>
          <w:szCs w:val="28"/>
        </w:rPr>
        <w:t>Основными рисками, связанными с реализацией долговой политики</w:t>
      </w:r>
      <w:r w:rsidR="00A516DA" w:rsidRPr="00200A85">
        <w:rPr>
          <w:sz w:val="28"/>
          <w:szCs w:val="28"/>
        </w:rPr>
        <w:t xml:space="preserve"> города</w:t>
      </w:r>
      <w:r w:rsidRPr="00200A85">
        <w:rPr>
          <w:sz w:val="28"/>
          <w:szCs w:val="28"/>
        </w:rPr>
        <w:t>, являются:</w:t>
      </w:r>
    </w:p>
    <w:p w:rsidR="00C369B9" w:rsidRPr="00200A85" w:rsidRDefault="00976D93" w:rsidP="00A516DA">
      <w:pPr>
        <w:ind w:firstLine="709"/>
        <w:jc w:val="both"/>
        <w:rPr>
          <w:sz w:val="28"/>
          <w:szCs w:val="28"/>
        </w:rPr>
      </w:pPr>
      <w:r w:rsidRPr="00200A85">
        <w:rPr>
          <w:sz w:val="28"/>
          <w:szCs w:val="28"/>
        </w:rPr>
        <w:t xml:space="preserve">риск рефинансирования долговых обязательств </w:t>
      </w:r>
      <w:r w:rsidR="00C369B9" w:rsidRPr="00200A85">
        <w:rPr>
          <w:sz w:val="28"/>
          <w:szCs w:val="28"/>
        </w:rPr>
        <w:t>города</w:t>
      </w:r>
      <w:r w:rsidRPr="00200A85">
        <w:rPr>
          <w:sz w:val="28"/>
          <w:szCs w:val="28"/>
        </w:rPr>
        <w:t>;</w:t>
      </w:r>
    </w:p>
    <w:p w:rsidR="00976D93" w:rsidRPr="00200A85" w:rsidRDefault="00976D93" w:rsidP="00A516DA">
      <w:pPr>
        <w:ind w:firstLine="709"/>
        <w:jc w:val="both"/>
        <w:rPr>
          <w:sz w:val="28"/>
          <w:szCs w:val="28"/>
        </w:rPr>
      </w:pPr>
      <w:r w:rsidRPr="00200A85">
        <w:rPr>
          <w:sz w:val="28"/>
          <w:szCs w:val="28"/>
        </w:rPr>
        <w:t xml:space="preserve">риск снижения </w:t>
      </w:r>
      <w:r w:rsidR="00AB7C41" w:rsidRPr="00200A85">
        <w:rPr>
          <w:sz w:val="28"/>
          <w:szCs w:val="28"/>
        </w:rPr>
        <w:t>ликвидности рынка заимствований;</w:t>
      </w:r>
    </w:p>
    <w:p w:rsidR="00AB7C41" w:rsidRPr="00200A85" w:rsidRDefault="00AB7C41" w:rsidP="00A516DA">
      <w:pPr>
        <w:ind w:firstLine="709"/>
        <w:jc w:val="both"/>
        <w:rPr>
          <w:sz w:val="28"/>
          <w:szCs w:val="28"/>
        </w:rPr>
      </w:pPr>
      <w:r w:rsidRPr="00200A85">
        <w:rPr>
          <w:sz w:val="28"/>
          <w:szCs w:val="28"/>
        </w:rPr>
        <w:t>риск роста процентных ставок.</w:t>
      </w:r>
    </w:p>
    <w:p w:rsidR="00976D93" w:rsidRPr="00200A85" w:rsidRDefault="00976D93" w:rsidP="00A516DA">
      <w:pPr>
        <w:ind w:firstLine="709"/>
        <w:jc w:val="both"/>
        <w:rPr>
          <w:sz w:val="28"/>
          <w:szCs w:val="28"/>
        </w:rPr>
      </w:pPr>
      <w:r w:rsidRPr="00200A85">
        <w:rPr>
          <w:sz w:val="28"/>
          <w:szCs w:val="28"/>
        </w:rPr>
        <w:t xml:space="preserve">Риск рефинансирования долговых обязательств </w:t>
      </w:r>
      <w:r w:rsidR="00C369B9" w:rsidRPr="00200A85">
        <w:rPr>
          <w:sz w:val="28"/>
          <w:szCs w:val="28"/>
        </w:rPr>
        <w:t>города</w:t>
      </w:r>
      <w:r w:rsidRPr="00200A85">
        <w:rPr>
          <w:sz w:val="28"/>
          <w:szCs w:val="28"/>
        </w:rPr>
        <w:t xml:space="preserve"> </w:t>
      </w:r>
      <w:r w:rsidR="00AB7C41" w:rsidRPr="00200A85">
        <w:rPr>
          <w:sz w:val="28"/>
          <w:szCs w:val="28"/>
        </w:rPr>
        <w:t>означает невозможность</w:t>
      </w:r>
      <w:r w:rsidRPr="00200A85">
        <w:rPr>
          <w:sz w:val="28"/>
          <w:szCs w:val="28"/>
        </w:rPr>
        <w:t xml:space="preserve"> осуществления на приемлемых условиях новых заимствований для погашения имеющихся долговых обязательств</w:t>
      </w:r>
      <w:r w:rsidR="00C369B9" w:rsidRPr="00200A85">
        <w:rPr>
          <w:sz w:val="28"/>
          <w:szCs w:val="28"/>
        </w:rPr>
        <w:t xml:space="preserve"> города</w:t>
      </w:r>
      <w:r w:rsidRPr="00200A85">
        <w:rPr>
          <w:sz w:val="28"/>
          <w:szCs w:val="28"/>
        </w:rPr>
        <w:t>.</w:t>
      </w:r>
    </w:p>
    <w:p w:rsidR="00AB7C41" w:rsidRPr="00200A85" w:rsidRDefault="00AB7C41" w:rsidP="00A516DA">
      <w:pPr>
        <w:ind w:firstLine="709"/>
        <w:jc w:val="both"/>
        <w:rPr>
          <w:sz w:val="28"/>
          <w:szCs w:val="28"/>
        </w:rPr>
      </w:pPr>
      <w:r w:rsidRPr="00200A85">
        <w:rPr>
          <w:sz w:val="28"/>
          <w:szCs w:val="28"/>
        </w:rPr>
        <w:t>Исключение риска рефинансирования возможно при полном отказе от краткосрочных инструментов заимствований.</w:t>
      </w:r>
    </w:p>
    <w:p w:rsidR="00976D93" w:rsidRPr="00200A85" w:rsidRDefault="00976D93" w:rsidP="00A516DA">
      <w:pPr>
        <w:ind w:firstLine="709"/>
        <w:jc w:val="both"/>
        <w:rPr>
          <w:sz w:val="28"/>
          <w:szCs w:val="28"/>
        </w:rPr>
      </w:pPr>
      <w:r w:rsidRPr="00200A85">
        <w:rPr>
          <w:sz w:val="28"/>
          <w:szCs w:val="28"/>
        </w:rPr>
        <w:t xml:space="preserve">Риск снижения ликвидности рынка заимствований </w:t>
      </w:r>
      <w:r w:rsidR="00AB7C41" w:rsidRPr="00200A85">
        <w:rPr>
          <w:sz w:val="28"/>
          <w:szCs w:val="28"/>
        </w:rPr>
        <w:t>связан с</w:t>
      </w:r>
      <w:r w:rsidRPr="00200A85">
        <w:rPr>
          <w:sz w:val="28"/>
          <w:szCs w:val="28"/>
        </w:rPr>
        <w:t xml:space="preserve"> неполучением денежных средств на финансирование дефицита бюджета </w:t>
      </w:r>
      <w:r w:rsidR="00C369B9" w:rsidRPr="00200A85">
        <w:rPr>
          <w:sz w:val="28"/>
          <w:szCs w:val="28"/>
        </w:rPr>
        <w:t xml:space="preserve">города </w:t>
      </w:r>
      <w:r w:rsidRPr="00200A85">
        <w:rPr>
          <w:sz w:val="28"/>
          <w:szCs w:val="28"/>
        </w:rPr>
        <w:t xml:space="preserve">и погашение долговых обязательств </w:t>
      </w:r>
      <w:r w:rsidR="00C369B9" w:rsidRPr="00200A85">
        <w:rPr>
          <w:sz w:val="28"/>
          <w:szCs w:val="28"/>
        </w:rPr>
        <w:t>города</w:t>
      </w:r>
      <w:r w:rsidR="00AB7C41" w:rsidRPr="00200A85">
        <w:rPr>
          <w:sz w:val="28"/>
          <w:szCs w:val="28"/>
        </w:rPr>
        <w:t xml:space="preserve"> в случае</w:t>
      </w:r>
      <w:r w:rsidRPr="00200A85">
        <w:rPr>
          <w:sz w:val="28"/>
          <w:szCs w:val="28"/>
        </w:rPr>
        <w:t xml:space="preserve"> </w:t>
      </w:r>
      <w:r w:rsidR="00AB7C41" w:rsidRPr="00200A85">
        <w:rPr>
          <w:sz w:val="28"/>
          <w:szCs w:val="28"/>
        </w:rPr>
        <w:t>отказа</w:t>
      </w:r>
      <w:r w:rsidRPr="00200A85">
        <w:rPr>
          <w:sz w:val="28"/>
          <w:szCs w:val="28"/>
        </w:rPr>
        <w:t xml:space="preserve"> кредитных организаций </w:t>
      </w:r>
      <w:r w:rsidR="00AB7C41" w:rsidRPr="00200A85">
        <w:rPr>
          <w:sz w:val="28"/>
          <w:szCs w:val="28"/>
        </w:rPr>
        <w:t>от предоставления заемных средств.</w:t>
      </w:r>
      <w:r w:rsidRPr="00200A85">
        <w:rPr>
          <w:sz w:val="28"/>
          <w:szCs w:val="28"/>
        </w:rPr>
        <w:t xml:space="preserve"> </w:t>
      </w:r>
      <w:r w:rsidR="00AB7C41" w:rsidRPr="00200A85">
        <w:rPr>
          <w:sz w:val="28"/>
          <w:szCs w:val="28"/>
        </w:rPr>
        <w:t>Снижение данного риска возможно в случае замещения средств, не полученных от кредитных организаций, бюджетными кредитами, предоставляемыми из федерального бюджета и бюджета Ставропольского края, либо путем сокращения расходов бюджета города на такую же сумму.</w:t>
      </w:r>
    </w:p>
    <w:p w:rsidR="00976D93" w:rsidRPr="00200A85" w:rsidRDefault="00AB7C41" w:rsidP="00A516DA">
      <w:pPr>
        <w:ind w:firstLine="709"/>
        <w:jc w:val="both"/>
        <w:rPr>
          <w:sz w:val="28"/>
          <w:szCs w:val="28"/>
        </w:rPr>
      </w:pPr>
      <w:r w:rsidRPr="00200A85">
        <w:rPr>
          <w:sz w:val="28"/>
          <w:szCs w:val="28"/>
        </w:rPr>
        <w:t xml:space="preserve">Риск роста процентных ставок на рынке заимствований </w:t>
      </w:r>
      <w:r w:rsidR="001D3DC3" w:rsidRPr="00200A85">
        <w:rPr>
          <w:sz w:val="28"/>
          <w:szCs w:val="28"/>
        </w:rPr>
        <w:t>влечет возникновение</w:t>
      </w:r>
      <w:r w:rsidRPr="00200A85">
        <w:rPr>
          <w:sz w:val="28"/>
          <w:szCs w:val="28"/>
        </w:rPr>
        <w:t xml:space="preserve"> </w:t>
      </w:r>
      <w:r w:rsidR="001D3DC3" w:rsidRPr="00200A85">
        <w:rPr>
          <w:sz w:val="28"/>
          <w:szCs w:val="28"/>
        </w:rPr>
        <w:t>дополнительных</w:t>
      </w:r>
      <w:r w:rsidRPr="00200A85">
        <w:rPr>
          <w:sz w:val="28"/>
          <w:szCs w:val="28"/>
        </w:rPr>
        <w:t xml:space="preserve"> расходов бюджета города</w:t>
      </w:r>
      <w:r w:rsidR="001D3DC3" w:rsidRPr="00200A85">
        <w:rPr>
          <w:sz w:val="28"/>
          <w:szCs w:val="28"/>
        </w:rPr>
        <w:t>. Снижение данного риска возможно за счет маневрирования различными инструментами заимствований, сроками их использования или за счет перераспределения средств бюджета города в пользу расходов по обслуживанию</w:t>
      </w:r>
      <w:r w:rsidRPr="00200A85">
        <w:rPr>
          <w:sz w:val="28"/>
          <w:szCs w:val="28"/>
        </w:rPr>
        <w:t xml:space="preserve"> муниципального долга</w:t>
      </w:r>
      <w:r w:rsidR="001D3DC3" w:rsidRPr="00200A85">
        <w:rPr>
          <w:sz w:val="28"/>
          <w:szCs w:val="28"/>
        </w:rPr>
        <w:t xml:space="preserve"> за счет иных расходных обязатель</w:t>
      </w:r>
      <w:proofErr w:type="gramStart"/>
      <w:r w:rsidR="001D3DC3" w:rsidRPr="00200A85">
        <w:rPr>
          <w:sz w:val="28"/>
          <w:szCs w:val="28"/>
        </w:rPr>
        <w:t>ств в пр</w:t>
      </w:r>
      <w:proofErr w:type="gramEnd"/>
      <w:r w:rsidR="001D3DC3" w:rsidRPr="00200A85">
        <w:rPr>
          <w:sz w:val="28"/>
          <w:szCs w:val="28"/>
        </w:rPr>
        <w:t>еделах расходов</w:t>
      </w:r>
      <w:r w:rsidRPr="00200A85">
        <w:rPr>
          <w:sz w:val="28"/>
          <w:szCs w:val="28"/>
        </w:rPr>
        <w:t xml:space="preserve">, </w:t>
      </w:r>
      <w:r w:rsidR="001D3DC3" w:rsidRPr="00200A85">
        <w:rPr>
          <w:sz w:val="28"/>
          <w:szCs w:val="28"/>
        </w:rPr>
        <w:t>утвержденных решением о бюджете города на текущий финансовый год и плановый период.</w:t>
      </w:r>
    </w:p>
    <w:p w:rsidR="00976D93" w:rsidRPr="00A75A1F" w:rsidRDefault="00976D93" w:rsidP="00225770">
      <w:pPr>
        <w:ind w:firstLine="709"/>
        <w:rPr>
          <w:sz w:val="28"/>
          <w:szCs w:val="28"/>
          <w:highlight w:val="yellow"/>
        </w:rPr>
      </w:pPr>
    </w:p>
    <w:p w:rsidR="00976D93" w:rsidRDefault="00976D93" w:rsidP="00225770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4A7F" w:rsidRPr="00A75A1F" w:rsidRDefault="00CE4A7F" w:rsidP="00225770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6D93" w:rsidRPr="00CE4A7F" w:rsidRDefault="00CE4A7F" w:rsidP="00225770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E4A7F">
        <w:rPr>
          <w:rFonts w:ascii="Times New Roman" w:hAnsi="Times New Roman" w:cs="Times New Roman"/>
          <w:sz w:val="28"/>
          <w:szCs w:val="28"/>
        </w:rPr>
        <w:t>Первый з</w:t>
      </w:r>
      <w:r w:rsidR="00976D93" w:rsidRPr="00CE4A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976D93" w:rsidRPr="00CE4A7F" w:rsidRDefault="00976D93" w:rsidP="00225770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E4A7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CE4A7F">
        <w:rPr>
          <w:rFonts w:ascii="Times New Roman" w:hAnsi="Times New Roman" w:cs="Times New Roman"/>
          <w:sz w:val="28"/>
          <w:szCs w:val="28"/>
        </w:rPr>
        <w:tab/>
      </w:r>
      <w:r w:rsidRPr="00CE4A7F">
        <w:rPr>
          <w:rFonts w:ascii="Times New Roman" w:hAnsi="Times New Roman" w:cs="Times New Roman"/>
          <w:sz w:val="28"/>
          <w:szCs w:val="28"/>
        </w:rPr>
        <w:tab/>
      </w:r>
      <w:r w:rsidR="00CE4A7F" w:rsidRPr="00CE4A7F">
        <w:rPr>
          <w:rFonts w:ascii="Times New Roman" w:hAnsi="Times New Roman" w:cs="Times New Roman"/>
          <w:sz w:val="28"/>
          <w:szCs w:val="28"/>
        </w:rPr>
        <w:tab/>
      </w:r>
      <w:r w:rsidR="00CE4A7F" w:rsidRPr="00CE4A7F"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p w:rsidR="00976D93" w:rsidRPr="00A75A1F" w:rsidRDefault="00976D93" w:rsidP="0022577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17" w:rsidRDefault="00311017" w:rsidP="00225770">
      <w:pPr>
        <w:jc w:val="both"/>
        <w:rPr>
          <w:sz w:val="28"/>
          <w:szCs w:val="28"/>
        </w:rPr>
      </w:pPr>
    </w:p>
    <w:p w:rsidR="00311017" w:rsidRDefault="00311017" w:rsidP="00225770">
      <w:pPr>
        <w:jc w:val="both"/>
        <w:rPr>
          <w:sz w:val="28"/>
          <w:szCs w:val="28"/>
        </w:rPr>
      </w:pPr>
    </w:p>
    <w:p w:rsidR="00311017" w:rsidRDefault="00311017" w:rsidP="00225770">
      <w:pPr>
        <w:jc w:val="both"/>
        <w:rPr>
          <w:sz w:val="28"/>
          <w:szCs w:val="28"/>
        </w:rPr>
        <w:sectPr w:rsidR="00311017" w:rsidSect="00781F87">
          <w:headerReference w:type="default" r:id="rId12"/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11017" w:rsidRDefault="00311017" w:rsidP="00225770">
      <w:pPr>
        <w:jc w:val="both"/>
        <w:rPr>
          <w:sz w:val="28"/>
          <w:szCs w:val="28"/>
        </w:rPr>
      </w:pPr>
    </w:p>
    <w:p w:rsidR="00976D93" w:rsidRPr="00200A85" w:rsidRDefault="00976D93" w:rsidP="00225770">
      <w:pPr>
        <w:jc w:val="both"/>
        <w:rPr>
          <w:sz w:val="28"/>
          <w:szCs w:val="28"/>
        </w:rPr>
      </w:pPr>
      <w:r w:rsidRPr="00200A85">
        <w:rPr>
          <w:sz w:val="28"/>
          <w:szCs w:val="28"/>
        </w:rPr>
        <w:t>Приложение визируют:</w:t>
      </w:r>
    </w:p>
    <w:p w:rsidR="00976D93" w:rsidRPr="00200A85" w:rsidRDefault="00976D93" w:rsidP="00225770">
      <w:pPr>
        <w:jc w:val="both"/>
        <w:rPr>
          <w:sz w:val="28"/>
          <w:szCs w:val="28"/>
        </w:rPr>
      </w:pPr>
    </w:p>
    <w:p w:rsidR="00200A85" w:rsidRPr="00200A85" w:rsidRDefault="00976D93" w:rsidP="0022577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200A85">
        <w:rPr>
          <w:sz w:val="28"/>
          <w:szCs w:val="28"/>
        </w:rPr>
        <w:t>Заместитель</w:t>
      </w:r>
      <w:r w:rsidR="00200A85" w:rsidRPr="00200A85">
        <w:rPr>
          <w:sz w:val="28"/>
          <w:szCs w:val="28"/>
        </w:rPr>
        <w:t xml:space="preserve"> главы администрации города,</w:t>
      </w:r>
    </w:p>
    <w:p w:rsidR="00976D93" w:rsidRPr="00200A85" w:rsidRDefault="00200A85" w:rsidP="0022577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200A85">
        <w:rPr>
          <w:sz w:val="28"/>
          <w:szCs w:val="28"/>
        </w:rPr>
        <w:t>р</w:t>
      </w:r>
      <w:r w:rsidR="006971AD" w:rsidRPr="00200A85">
        <w:rPr>
          <w:sz w:val="28"/>
          <w:szCs w:val="28"/>
        </w:rPr>
        <w:t>уководител</w:t>
      </w:r>
      <w:r w:rsidRPr="00200A85">
        <w:rPr>
          <w:sz w:val="28"/>
          <w:szCs w:val="28"/>
        </w:rPr>
        <w:t xml:space="preserve">ь </w:t>
      </w:r>
      <w:r w:rsidR="00976D93" w:rsidRPr="00200A85">
        <w:rPr>
          <w:sz w:val="28"/>
          <w:szCs w:val="28"/>
        </w:rPr>
        <w:t xml:space="preserve">финансового управления </w:t>
      </w:r>
    </w:p>
    <w:p w:rsidR="00976D93" w:rsidRPr="00200A85" w:rsidRDefault="00976D93" w:rsidP="00225770">
      <w:pPr>
        <w:pStyle w:val="1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200A85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6971AD" w:rsidRPr="00200A85">
        <w:rPr>
          <w:rFonts w:ascii="Times New Roman" w:hAnsi="Times New Roman"/>
          <w:sz w:val="28"/>
          <w:szCs w:val="28"/>
        </w:rPr>
        <w:t>Невинномысска</w:t>
      </w:r>
      <w:r w:rsidR="006971AD" w:rsidRPr="00200A85">
        <w:rPr>
          <w:rFonts w:ascii="Times New Roman" w:hAnsi="Times New Roman"/>
          <w:sz w:val="28"/>
          <w:szCs w:val="28"/>
        </w:rPr>
        <w:tab/>
      </w:r>
      <w:r w:rsidR="006971AD" w:rsidRPr="00200A85">
        <w:rPr>
          <w:rFonts w:ascii="Times New Roman" w:hAnsi="Times New Roman"/>
          <w:sz w:val="28"/>
          <w:szCs w:val="28"/>
        </w:rPr>
        <w:tab/>
      </w:r>
      <w:r w:rsidR="006971AD" w:rsidRPr="00200A85">
        <w:rPr>
          <w:rFonts w:ascii="Times New Roman" w:hAnsi="Times New Roman"/>
          <w:sz w:val="28"/>
          <w:szCs w:val="28"/>
        </w:rPr>
        <w:tab/>
        <w:t xml:space="preserve">               </w:t>
      </w:r>
      <w:r w:rsidR="00200A85" w:rsidRPr="00200A85">
        <w:rPr>
          <w:rFonts w:ascii="Times New Roman" w:hAnsi="Times New Roman"/>
          <w:sz w:val="28"/>
          <w:szCs w:val="28"/>
        </w:rPr>
        <w:t>О</w:t>
      </w:r>
      <w:r w:rsidR="006971AD" w:rsidRPr="00200A85">
        <w:rPr>
          <w:rFonts w:ascii="Times New Roman" w:hAnsi="Times New Roman"/>
          <w:sz w:val="28"/>
          <w:szCs w:val="28"/>
        </w:rPr>
        <w:t xml:space="preserve">.В. </w:t>
      </w:r>
      <w:r w:rsidR="00200A85" w:rsidRPr="00200A85">
        <w:rPr>
          <w:rFonts w:ascii="Times New Roman" w:hAnsi="Times New Roman"/>
          <w:sz w:val="28"/>
          <w:szCs w:val="28"/>
        </w:rPr>
        <w:t>Колбасова</w:t>
      </w:r>
    </w:p>
    <w:p w:rsidR="00976D93" w:rsidRPr="00200A85" w:rsidRDefault="00976D93" w:rsidP="00225770">
      <w:pPr>
        <w:jc w:val="both"/>
        <w:rPr>
          <w:sz w:val="28"/>
          <w:szCs w:val="28"/>
        </w:rPr>
      </w:pPr>
    </w:p>
    <w:p w:rsidR="00200A85" w:rsidRPr="00311017" w:rsidRDefault="00200A85" w:rsidP="00225770">
      <w:pPr>
        <w:spacing w:line="240" w:lineRule="exact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Н</w:t>
      </w:r>
      <w:r w:rsidR="00976D93" w:rsidRPr="00311017">
        <w:rPr>
          <w:sz w:val="28"/>
          <w:szCs w:val="28"/>
        </w:rPr>
        <w:t>ачальник</w:t>
      </w:r>
      <w:r w:rsidRPr="00311017">
        <w:rPr>
          <w:sz w:val="28"/>
          <w:szCs w:val="28"/>
        </w:rPr>
        <w:t xml:space="preserve"> </w:t>
      </w:r>
      <w:r w:rsidR="00976D93" w:rsidRPr="00311017">
        <w:rPr>
          <w:sz w:val="28"/>
          <w:szCs w:val="28"/>
        </w:rPr>
        <w:t>правового управления</w:t>
      </w:r>
    </w:p>
    <w:p w:rsidR="00225770" w:rsidRPr="00200A85" w:rsidRDefault="00200A85" w:rsidP="00225770">
      <w:pPr>
        <w:spacing w:line="240" w:lineRule="exact"/>
        <w:jc w:val="both"/>
        <w:rPr>
          <w:sz w:val="28"/>
          <w:szCs w:val="28"/>
        </w:rPr>
      </w:pPr>
      <w:r w:rsidRPr="00311017">
        <w:rPr>
          <w:sz w:val="28"/>
          <w:szCs w:val="28"/>
        </w:rPr>
        <w:t>а</w:t>
      </w:r>
      <w:r w:rsidR="00976D93" w:rsidRPr="00311017">
        <w:rPr>
          <w:sz w:val="28"/>
          <w:szCs w:val="28"/>
        </w:rPr>
        <w:t>дминистрации</w:t>
      </w:r>
      <w:r w:rsidRPr="00311017">
        <w:rPr>
          <w:sz w:val="28"/>
          <w:szCs w:val="28"/>
        </w:rPr>
        <w:t xml:space="preserve"> </w:t>
      </w:r>
      <w:r w:rsidR="00976D93" w:rsidRPr="00311017">
        <w:rPr>
          <w:sz w:val="28"/>
          <w:szCs w:val="28"/>
        </w:rPr>
        <w:t>города Невинномысска</w:t>
      </w:r>
      <w:r w:rsidRPr="00311017">
        <w:rPr>
          <w:sz w:val="28"/>
          <w:szCs w:val="28"/>
        </w:rPr>
        <w:t xml:space="preserve">                                       Е.Н. Дудченко</w:t>
      </w:r>
    </w:p>
    <w:sectPr w:rsidR="00225770" w:rsidRPr="00200A85" w:rsidSect="00311017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E2" w:rsidRDefault="00C573E2" w:rsidP="00A93C88">
      <w:pPr>
        <w:pStyle w:val="a3"/>
      </w:pPr>
      <w:r>
        <w:separator/>
      </w:r>
    </w:p>
  </w:endnote>
  <w:endnote w:type="continuationSeparator" w:id="0">
    <w:p w:rsidR="00C573E2" w:rsidRDefault="00C573E2" w:rsidP="00A93C8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E2" w:rsidRDefault="00C573E2" w:rsidP="00A93C88">
      <w:pPr>
        <w:pStyle w:val="a3"/>
      </w:pPr>
      <w:r>
        <w:separator/>
      </w:r>
    </w:p>
  </w:footnote>
  <w:footnote w:type="continuationSeparator" w:id="0">
    <w:p w:rsidR="00C573E2" w:rsidRDefault="00C573E2" w:rsidP="00A93C8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5A" w:rsidRDefault="000B2452" w:rsidP="00A93C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5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55A" w:rsidRDefault="0091355A" w:rsidP="00CA2EC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51465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31EB9" w:rsidRPr="00031EB9" w:rsidRDefault="00031EB9">
        <w:pPr>
          <w:pStyle w:val="a6"/>
          <w:jc w:val="center"/>
          <w:rPr>
            <w:sz w:val="28"/>
          </w:rPr>
        </w:pPr>
        <w:r w:rsidRPr="00031EB9">
          <w:rPr>
            <w:sz w:val="28"/>
          </w:rPr>
          <w:fldChar w:fldCharType="begin"/>
        </w:r>
        <w:r w:rsidRPr="00031EB9">
          <w:rPr>
            <w:sz w:val="28"/>
          </w:rPr>
          <w:instrText>PAGE   \* MERGEFORMAT</w:instrText>
        </w:r>
        <w:r w:rsidRPr="00031EB9">
          <w:rPr>
            <w:sz w:val="28"/>
          </w:rPr>
          <w:fldChar w:fldCharType="separate"/>
        </w:r>
        <w:r w:rsidR="00781F87">
          <w:rPr>
            <w:noProof/>
            <w:sz w:val="28"/>
          </w:rPr>
          <w:t>4</w:t>
        </w:r>
        <w:r w:rsidRPr="00031EB9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73"/>
      <w:docPartObj>
        <w:docPartGallery w:val="Page Numbers (Top of Page)"/>
        <w:docPartUnique/>
      </w:docPartObj>
    </w:sdtPr>
    <w:sdtContent>
      <w:p w:rsidR="00781F87" w:rsidRDefault="00781F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1F87" w:rsidRPr="00031EB9" w:rsidRDefault="00781F87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1BA"/>
    <w:multiLevelType w:val="hybridMultilevel"/>
    <w:tmpl w:val="E9587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6A62E4"/>
    <w:multiLevelType w:val="multilevel"/>
    <w:tmpl w:val="34261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6423F"/>
    <w:multiLevelType w:val="multilevel"/>
    <w:tmpl w:val="500EBAE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40F53"/>
    <w:multiLevelType w:val="multilevel"/>
    <w:tmpl w:val="3B1CEA7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C392E"/>
    <w:multiLevelType w:val="multilevel"/>
    <w:tmpl w:val="95C89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46"/>
    <w:rsid w:val="00000A75"/>
    <w:rsid w:val="000017FD"/>
    <w:rsid w:val="000029E7"/>
    <w:rsid w:val="00004E42"/>
    <w:rsid w:val="0000501B"/>
    <w:rsid w:val="00006448"/>
    <w:rsid w:val="000066AA"/>
    <w:rsid w:val="00011D99"/>
    <w:rsid w:val="000122D0"/>
    <w:rsid w:val="00013BC4"/>
    <w:rsid w:val="00014BE2"/>
    <w:rsid w:val="00015077"/>
    <w:rsid w:val="00016386"/>
    <w:rsid w:val="0002285E"/>
    <w:rsid w:val="000252D0"/>
    <w:rsid w:val="0002710E"/>
    <w:rsid w:val="00030180"/>
    <w:rsid w:val="00031653"/>
    <w:rsid w:val="00031EB9"/>
    <w:rsid w:val="000322C7"/>
    <w:rsid w:val="00032874"/>
    <w:rsid w:val="00033EC3"/>
    <w:rsid w:val="00037B12"/>
    <w:rsid w:val="000440C1"/>
    <w:rsid w:val="000449BF"/>
    <w:rsid w:val="000466FD"/>
    <w:rsid w:val="00046C3E"/>
    <w:rsid w:val="00051C16"/>
    <w:rsid w:val="00053C13"/>
    <w:rsid w:val="00054826"/>
    <w:rsid w:val="00054DBB"/>
    <w:rsid w:val="00062EE8"/>
    <w:rsid w:val="0006403C"/>
    <w:rsid w:val="00064AE1"/>
    <w:rsid w:val="00066779"/>
    <w:rsid w:val="00067294"/>
    <w:rsid w:val="000707D1"/>
    <w:rsid w:val="00071538"/>
    <w:rsid w:val="000748BA"/>
    <w:rsid w:val="000776D9"/>
    <w:rsid w:val="0008127F"/>
    <w:rsid w:val="00082E08"/>
    <w:rsid w:val="00083628"/>
    <w:rsid w:val="00084358"/>
    <w:rsid w:val="00085386"/>
    <w:rsid w:val="00085F31"/>
    <w:rsid w:val="000871EB"/>
    <w:rsid w:val="00090227"/>
    <w:rsid w:val="00092160"/>
    <w:rsid w:val="00096444"/>
    <w:rsid w:val="000A4E53"/>
    <w:rsid w:val="000A52C5"/>
    <w:rsid w:val="000A5C64"/>
    <w:rsid w:val="000B06A7"/>
    <w:rsid w:val="000B2452"/>
    <w:rsid w:val="000C199D"/>
    <w:rsid w:val="000C3FA3"/>
    <w:rsid w:val="000C4765"/>
    <w:rsid w:val="000C4A3B"/>
    <w:rsid w:val="000C4C29"/>
    <w:rsid w:val="000C6DF1"/>
    <w:rsid w:val="000C765B"/>
    <w:rsid w:val="000D38D4"/>
    <w:rsid w:val="000D6159"/>
    <w:rsid w:val="000E090F"/>
    <w:rsid w:val="000E320F"/>
    <w:rsid w:val="000E5604"/>
    <w:rsid w:val="000E77EC"/>
    <w:rsid w:val="000E786C"/>
    <w:rsid w:val="000E79AD"/>
    <w:rsid w:val="000F02AA"/>
    <w:rsid w:val="000F3DCE"/>
    <w:rsid w:val="00102426"/>
    <w:rsid w:val="00106D49"/>
    <w:rsid w:val="00113890"/>
    <w:rsid w:val="00113B88"/>
    <w:rsid w:val="0012121B"/>
    <w:rsid w:val="00121AA1"/>
    <w:rsid w:val="00121CE3"/>
    <w:rsid w:val="00122624"/>
    <w:rsid w:val="001239BA"/>
    <w:rsid w:val="001313F5"/>
    <w:rsid w:val="00132744"/>
    <w:rsid w:val="001343FB"/>
    <w:rsid w:val="00135747"/>
    <w:rsid w:val="00135879"/>
    <w:rsid w:val="00143C7A"/>
    <w:rsid w:val="001455D1"/>
    <w:rsid w:val="00147F88"/>
    <w:rsid w:val="00150BEB"/>
    <w:rsid w:val="0015618B"/>
    <w:rsid w:val="00160B26"/>
    <w:rsid w:val="00161C72"/>
    <w:rsid w:val="00165FDB"/>
    <w:rsid w:val="00166D82"/>
    <w:rsid w:val="00172A5D"/>
    <w:rsid w:val="00175785"/>
    <w:rsid w:val="001772F7"/>
    <w:rsid w:val="001811D5"/>
    <w:rsid w:val="00181866"/>
    <w:rsid w:val="001825BC"/>
    <w:rsid w:val="001840D8"/>
    <w:rsid w:val="00184ED7"/>
    <w:rsid w:val="00192F81"/>
    <w:rsid w:val="0019567D"/>
    <w:rsid w:val="0019754E"/>
    <w:rsid w:val="001A09A8"/>
    <w:rsid w:val="001A3891"/>
    <w:rsid w:val="001B20CC"/>
    <w:rsid w:val="001B36DD"/>
    <w:rsid w:val="001C0144"/>
    <w:rsid w:val="001C0C58"/>
    <w:rsid w:val="001C12D4"/>
    <w:rsid w:val="001C134D"/>
    <w:rsid w:val="001C5BA4"/>
    <w:rsid w:val="001D1D9F"/>
    <w:rsid w:val="001D27FD"/>
    <w:rsid w:val="001D3DC3"/>
    <w:rsid w:val="001D4843"/>
    <w:rsid w:val="001D5F0A"/>
    <w:rsid w:val="001D7FCA"/>
    <w:rsid w:val="001E0132"/>
    <w:rsid w:val="001E1394"/>
    <w:rsid w:val="001E1D07"/>
    <w:rsid w:val="001E27C2"/>
    <w:rsid w:val="001E7ECA"/>
    <w:rsid w:val="001F0F5D"/>
    <w:rsid w:val="001F2847"/>
    <w:rsid w:val="001F4E10"/>
    <w:rsid w:val="001F6389"/>
    <w:rsid w:val="001F7587"/>
    <w:rsid w:val="001F78B0"/>
    <w:rsid w:val="00200A85"/>
    <w:rsid w:val="00202B91"/>
    <w:rsid w:val="002043D4"/>
    <w:rsid w:val="002051D1"/>
    <w:rsid w:val="00214B5C"/>
    <w:rsid w:val="00217C12"/>
    <w:rsid w:val="00220CB5"/>
    <w:rsid w:val="00224CC9"/>
    <w:rsid w:val="00225770"/>
    <w:rsid w:val="00226087"/>
    <w:rsid w:val="002272F7"/>
    <w:rsid w:val="002305A8"/>
    <w:rsid w:val="0023342C"/>
    <w:rsid w:val="00235A72"/>
    <w:rsid w:val="002419C6"/>
    <w:rsid w:val="00247990"/>
    <w:rsid w:val="00255E05"/>
    <w:rsid w:val="002560FB"/>
    <w:rsid w:val="00260A96"/>
    <w:rsid w:val="0026276A"/>
    <w:rsid w:val="002627A4"/>
    <w:rsid w:val="00266D75"/>
    <w:rsid w:val="00267939"/>
    <w:rsid w:val="0027425E"/>
    <w:rsid w:val="002743C4"/>
    <w:rsid w:val="0027678E"/>
    <w:rsid w:val="00280139"/>
    <w:rsid w:val="002808A2"/>
    <w:rsid w:val="00280B72"/>
    <w:rsid w:val="0028123F"/>
    <w:rsid w:val="00282513"/>
    <w:rsid w:val="002829D7"/>
    <w:rsid w:val="002848BD"/>
    <w:rsid w:val="00292D66"/>
    <w:rsid w:val="00292E69"/>
    <w:rsid w:val="002A02CD"/>
    <w:rsid w:val="002A1A6B"/>
    <w:rsid w:val="002A4CCF"/>
    <w:rsid w:val="002A7D18"/>
    <w:rsid w:val="002A7E1C"/>
    <w:rsid w:val="002C01ED"/>
    <w:rsid w:val="002C0740"/>
    <w:rsid w:val="002C0C2B"/>
    <w:rsid w:val="002C20A6"/>
    <w:rsid w:val="002C3205"/>
    <w:rsid w:val="002C5723"/>
    <w:rsid w:val="002C778D"/>
    <w:rsid w:val="002D2308"/>
    <w:rsid w:val="002D5D0A"/>
    <w:rsid w:val="002D6BDD"/>
    <w:rsid w:val="002D6CD1"/>
    <w:rsid w:val="002D72D2"/>
    <w:rsid w:val="002E0889"/>
    <w:rsid w:val="002E0AF6"/>
    <w:rsid w:val="002E16BF"/>
    <w:rsid w:val="002E33EB"/>
    <w:rsid w:val="002F1F07"/>
    <w:rsid w:val="002F6ACA"/>
    <w:rsid w:val="002F6B06"/>
    <w:rsid w:val="002F7685"/>
    <w:rsid w:val="00300E40"/>
    <w:rsid w:val="00301BE9"/>
    <w:rsid w:val="00306790"/>
    <w:rsid w:val="00311017"/>
    <w:rsid w:val="00312105"/>
    <w:rsid w:val="0031307B"/>
    <w:rsid w:val="00313C38"/>
    <w:rsid w:val="0031538C"/>
    <w:rsid w:val="0032253A"/>
    <w:rsid w:val="0032499C"/>
    <w:rsid w:val="003308A0"/>
    <w:rsid w:val="00331BF2"/>
    <w:rsid w:val="003320FA"/>
    <w:rsid w:val="00332FAA"/>
    <w:rsid w:val="00342712"/>
    <w:rsid w:val="003467B8"/>
    <w:rsid w:val="003503C6"/>
    <w:rsid w:val="003568C6"/>
    <w:rsid w:val="003576C8"/>
    <w:rsid w:val="003632F7"/>
    <w:rsid w:val="003634D2"/>
    <w:rsid w:val="00367EF3"/>
    <w:rsid w:val="0037064A"/>
    <w:rsid w:val="003709C5"/>
    <w:rsid w:val="00375705"/>
    <w:rsid w:val="00377DD0"/>
    <w:rsid w:val="00377E3D"/>
    <w:rsid w:val="0038101E"/>
    <w:rsid w:val="00381BB5"/>
    <w:rsid w:val="0038211D"/>
    <w:rsid w:val="003857F5"/>
    <w:rsid w:val="003947F2"/>
    <w:rsid w:val="00397D3B"/>
    <w:rsid w:val="003A198C"/>
    <w:rsid w:val="003A3BDE"/>
    <w:rsid w:val="003A52A0"/>
    <w:rsid w:val="003A60CC"/>
    <w:rsid w:val="003A66F5"/>
    <w:rsid w:val="003B559E"/>
    <w:rsid w:val="003B67D6"/>
    <w:rsid w:val="003C0356"/>
    <w:rsid w:val="003C07AF"/>
    <w:rsid w:val="003D0666"/>
    <w:rsid w:val="003D11E4"/>
    <w:rsid w:val="003D12E9"/>
    <w:rsid w:val="003D413A"/>
    <w:rsid w:val="003D58B8"/>
    <w:rsid w:val="003D71B6"/>
    <w:rsid w:val="003E3049"/>
    <w:rsid w:val="003E38AF"/>
    <w:rsid w:val="003E6570"/>
    <w:rsid w:val="003F0751"/>
    <w:rsid w:val="003F0D9C"/>
    <w:rsid w:val="003F7653"/>
    <w:rsid w:val="00411E68"/>
    <w:rsid w:val="00412641"/>
    <w:rsid w:val="00413D07"/>
    <w:rsid w:val="00415664"/>
    <w:rsid w:val="00417333"/>
    <w:rsid w:val="0041762B"/>
    <w:rsid w:val="0042003D"/>
    <w:rsid w:val="00421DDD"/>
    <w:rsid w:val="0042401F"/>
    <w:rsid w:val="004242EA"/>
    <w:rsid w:val="004254AB"/>
    <w:rsid w:val="00425C62"/>
    <w:rsid w:val="004278CC"/>
    <w:rsid w:val="004339F1"/>
    <w:rsid w:val="00433A05"/>
    <w:rsid w:val="00435D74"/>
    <w:rsid w:val="00437A11"/>
    <w:rsid w:val="0044125C"/>
    <w:rsid w:val="00443131"/>
    <w:rsid w:val="00443E57"/>
    <w:rsid w:val="00453539"/>
    <w:rsid w:val="004579E3"/>
    <w:rsid w:val="004610CF"/>
    <w:rsid w:val="00461B0A"/>
    <w:rsid w:val="004622F1"/>
    <w:rsid w:val="004637F2"/>
    <w:rsid w:val="00463B99"/>
    <w:rsid w:val="0046435D"/>
    <w:rsid w:val="004658F1"/>
    <w:rsid w:val="00471388"/>
    <w:rsid w:val="004729B1"/>
    <w:rsid w:val="00476385"/>
    <w:rsid w:val="00477950"/>
    <w:rsid w:val="0049052A"/>
    <w:rsid w:val="00493B69"/>
    <w:rsid w:val="004A2110"/>
    <w:rsid w:val="004A25BD"/>
    <w:rsid w:val="004A6F53"/>
    <w:rsid w:val="004A7E80"/>
    <w:rsid w:val="004B11B9"/>
    <w:rsid w:val="004B7274"/>
    <w:rsid w:val="004C0BF2"/>
    <w:rsid w:val="004C5BC8"/>
    <w:rsid w:val="004D2260"/>
    <w:rsid w:val="004D3D56"/>
    <w:rsid w:val="004D545B"/>
    <w:rsid w:val="004D6EEF"/>
    <w:rsid w:val="004D7806"/>
    <w:rsid w:val="004E1D86"/>
    <w:rsid w:val="004E39EB"/>
    <w:rsid w:val="004F4319"/>
    <w:rsid w:val="0050439F"/>
    <w:rsid w:val="0050457B"/>
    <w:rsid w:val="00510FC2"/>
    <w:rsid w:val="00511AC4"/>
    <w:rsid w:val="00514B02"/>
    <w:rsid w:val="00523564"/>
    <w:rsid w:val="0052599E"/>
    <w:rsid w:val="005304FF"/>
    <w:rsid w:val="0053204C"/>
    <w:rsid w:val="00536006"/>
    <w:rsid w:val="005363CE"/>
    <w:rsid w:val="005436DC"/>
    <w:rsid w:val="00545CF7"/>
    <w:rsid w:val="00552D19"/>
    <w:rsid w:val="00555704"/>
    <w:rsid w:val="00556A38"/>
    <w:rsid w:val="00557DF6"/>
    <w:rsid w:val="00562FED"/>
    <w:rsid w:val="00567598"/>
    <w:rsid w:val="00570044"/>
    <w:rsid w:val="00581823"/>
    <w:rsid w:val="00581837"/>
    <w:rsid w:val="00583977"/>
    <w:rsid w:val="00583F7A"/>
    <w:rsid w:val="00593ECB"/>
    <w:rsid w:val="005945E5"/>
    <w:rsid w:val="00595346"/>
    <w:rsid w:val="005966A8"/>
    <w:rsid w:val="00597950"/>
    <w:rsid w:val="005A1641"/>
    <w:rsid w:val="005A17A3"/>
    <w:rsid w:val="005A5502"/>
    <w:rsid w:val="005A705E"/>
    <w:rsid w:val="005B1B27"/>
    <w:rsid w:val="005B27D0"/>
    <w:rsid w:val="005B6567"/>
    <w:rsid w:val="005B7D01"/>
    <w:rsid w:val="005C0925"/>
    <w:rsid w:val="005C1197"/>
    <w:rsid w:val="005C1822"/>
    <w:rsid w:val="005C39B5"/>
    <w:rsid w:val="005C44C1"/>
    <w:rsid w:val="005C5458"/>
    <w:rsid w:val="005C6550"/>
    <w:rsid w:val="005D372D"/>
    <w:rsid w:val="005D4598"/>
    <w:rsid w:val="005D6D1A"/>
    <w:rsid w:val="005E0CF9"/>
    <w:rsid w:val="005E4483"/>
    <w:rsid w:val="005E55A8"/>
    <w:rsid w:val="005E5ECC"/>
    <w:rsid w:val="005F13C7"/>
    <w:rsid w:val="005F1408"/>
    <w:rsid w:val="005F1D60"/>
    <w:rsid w:val="005F64A8"/>
    <w:rsid w:val="00602103"/>
    <w:rsid w:val="00604BA6"/>
    <w:rsid w:val="00605596"/>
    <w:rsid w:val="00605701"/>
    <w:rsid w:val="00605BE6"/>
    <w:rsid w:val="00612D6A"/>
    <w:rsid w:val="00613014"/>
    <w:rsid w:val="00615D50"/>
    <w:rsid w:val="00617101"/>
    <w:rsid w:val="00633E9F"/>
    <w:rsid w:val="006454DD"/>
    <w:rsid w:val="0065090F"/>
    <w:rsid w:val="00653BB2"/>
    <w:rsid w:val="00653DAC"/>
    <w:rsid w:val="00663436"/>
    <w:rsid w:val="00666DDE"/>
    <w:rsid w:val="00672D85"/>
    <w:rsid w:val="006758F2"/>
    <w:rsid w:val="0068296D"/>
    <w:rsid w:val="006850D6"/>
    <w:rsid w:val="00685AB5"/>
    <w:rsid w:val="006873E7"/>
    <w:rsid w:val="006877E1"/>
    <w:rsid w:val="00690A7F"/>
    <w:rsid w:val="006910EA"/>
    <w:rsid w:val="00693C66"/>
    <w:rsid w:val="006947F5"/>
    <w:rsid w:val="00695134"/>
    <w:rsid w:val="006971AD"/>
    <w:rsid w:val="00697513"/>
    <w:rsid w:val="006A0447"/>
    <w:rsid w:val="006A674A"/>
    <w:rsid w:val="006B01A3"/>
    <w:rsid w:val="006B051A"/>
    <w:rsid w:val="006B1006"/>
    <w:rsid w:val="006B35F4"/>
    <w:rsid w:val="006B5A67"/>
    <w:rsid w:val="006C02E1"/>
    <w:rsid w:val="006C1149"/>
    <w:rsid w:val="006C353E"/>
    <w:rsid w:val="006C4600"/>
    <w:rsid w:val="006C462C"/>
    <w:rsid w:val="006C6040"/>
    <w:rsid w:val="006C60ED"/>
    <w:rsid w:val="006D0509"/>
    <w:rsid w:val="006D2D9D"/>
    <w:rsid w:val="006D3625"/>
    <w:rsid w:val="006D36B5"/>
    <w:rsid w:val="006D3D19"/>
    <w:rsid w:val="006E560F"/>
    <w:rsid w:val="006F28A8"/>
    <w:rsid w:val="006F631F"/>
    <w:rsid w:val="006F65B0"/>
    <w:rsid w:val="00701F8D"/>
    <w:rsid w:val="00710AE7"/>
    <w:rsid w:val="007147F3"/>
    <w:rsid w:val="007227D6"/>
    <w:rsid w:val="007255CB"/>
    <w:rsid w:val="0072694D"/>
    <w:rsid w:val="00732F8D"/>
    <w:rsid w:val="007343CF"/>
    <w:rsid w:val="00735E78"/>
    <w:rsid w:val="007365CD"/>
    <w:rsid w:val="00742AC1"/>
    <w:rsid w:val="00742B25"/>
    <w:rsid w:val="00743AD1"/>
    <w:rsid w:val="00745E82"/>
    <w:rsid w:val="00746A76"/>
    <w:rsid w:val="007529AA"/>
    <w:rsid w:val="00760A85"/>
    <w:rsid w:val="00765178"/>
    <w:rsid w:val="00765D43"/>
    <w:rsid w:val="00767208"/>
    <w:rsid w:val="00767DE3"/>
    <w:rsid w:val="00767ECF"/>
    <w:rsid w:val="007700FA"/>
    <w:rsid w:val="0077768B"/>
    <w:rsid w:val="00780280"/>
    <w:rsid w:val="00780A60"/>
    <w:rsid w:val="00781F87"/>
    <w:rsid w:val="007827F7"/>
    <w:rsid w:val="00782C91"/>
    <w:rsid w:val="00783B3C"/>
    <w:rsid w:val="0078742B"/>
    <w:rsid w:val="00787C52"/>
    <w:rsid w:val="0079164D"/>
    <w:rsid w:val="00791AAB"/>
    <w:rsid w:val="00792997"/>
    <w:rsid w:val="00794685"/>
    <w:rsid w:val="007967CD"/>
    <w:rsid w:val="007A13FD"/>
    <w:rsid w:val="007A27EF"/>
    <w:rsid w:val="007A3A12"/>
    <w:rsid w:val="007A6333"/>
    <w:rsid w:val="007B09A4"/>
    <w:rsid w:val="007C0C85"/>
    <w:rsid w:val="007C2AD0"/>
    <w:rsid w:val="007C4DEA"/>
    <w:rsid w:val="007C4EF1"/>
    <w:rsid w:val="007C636A"/>
    <w:rsid w:val="007D1373"/>
    <w:rsid w:val="007D28C4"/>
    <w:rsid w:val="007D3DA4"/>
    <w:rsid w:val="007E0920"/>
    <w:rsid w:val="007E1FF9"/>
    <w:rsid w:val="007F5EF4"/>
    <w:rsid w:val="00800A88"/>
    <w:rsid w:val="00800CD0"/>
    <w:rsid w:val="008018F7"/>
    <w:rsid w:val="00805A67"/>
    <w:rsid w:val="008066F3"/>
    <w:rsid w:val="00807FDC"/>
    <w:rsid w:val="00810477"/>
    <w:rsid w:val="00814FF1"/>
    <w:rsid w:val="00822730"/>
    <w:rsid w:val="00825157"/>
    <w:rsid w:val="0082560A"/>
    <w:rsid w:val="00826DEB"/>
    <w:rsid w:val="008272D7"/>
    <w:rsid w:val="0082776D"/>
    <w:rsid w:val="00830F40"/>
    <w:rsid w:val="00832F81"/>
    <w:rsid w:val="00835DD7"/>
    <w:rsid w:val="00840A97"/>
    <w:rsid w:val="00841062"/>
    <w:rsid w:val="008424D3"/>
    <w:rsid w:val="00844761"/>
    <w:rsid w:val="008447D1"/>
    <w:rsid w:val="008466C3"/>
    <w:rsid w:val="00847026"/>
    <w:rsid w:val="00855BA8"/>
    <w:rsid w:val="00855CF3"/>
    <w:rsid w:val="00861323"/>
    <w:rsid w:val="00861B43"/>
    <w:rsid w:val="00865F2F"/>
    <w:rsid w:val="00866096"/>
    <w:rsid w:val="00866595"/>
    <w:rsid w:val="00871090"/>
    <w:rsid w:val="0087207B"/>
    <w:rsid w:val="00877777"/>
    <w:rsid w:val="008778C8"/>
    <w:rsid w:val="008818C0"/>
    <w:rsid w:val="00884F32"/>
    <w:rsid w:val="0089082C"/>
    <w:rsid w:val="00890C46"/>
    <w:rsid w:val="0089559E"/>
    <w:rsid w:val="008A09E3"/>
    <w:rsid w:val="008A47DF"/>
    <w:rsid w:val="008A692F"/>
    <w:rsid w:val="008B154D"/>
    <w:rsid w:val="008B161B"/>
    <w:rsid w:val="008B2CD9"/>
    <w:rsid w:val="008B306E"/>
    <w:rsid w:val="008B6D33"/>
    <w:rsid w:val="008C1523"/>
    <w:rsid w:val="008C5764"/>
    <w:rsid w:val="008C65AF"/>
    <w:rsid w:val="008C76B6"/>
    <w:rsid w:val="008D21B8"/>
    <w:rsid w:val="008D223F"/>
    <w:rsid w:val="008D2308"/>
    <w:rsid w:val="008D425E"/>
    <w:rsid w:val="008D5C7B"/>
    <w:rsid w:val="008E70AB"/>
    <w:rsid w:val="008F3658"/>
    <w:rsid w:val="008F496E"/>
    <w:rsid w:val="008F6C82"/>
    <w:rsid w:val="008F709C"/>
    <w:rsid w:val="00900E24"/>
    <w:rsid w:val="009022B2"/>
    <w:rsid w:val="00902D52"/>
    <w:rsid w:val="009036DB"/>
    <w:rsid w:val="0090397C"/>
    <w:rsid w:val="009056B5"/>
    <w:rsid w:val="009058EE"/>
    <w:rsid w:val="00912847"/>
    <w:rsid w:val="0091355A"/>
    <w:rsid w:val="00914AAE"/>
    <w:rsid w:val="009166E5"/>
    <w:rsid w:val="00922747"/>
    <w:rsid w:val="00923561"/>
    <w:rsid w:val="009243CF"/>
    <w:rsid w:val="009267C3"/>
    <w:rsid w:val="00930C91"/>
    <w:rsid w:val="00935A48"/>
    <w:rsid w:val="00936152"/>
    <w:rsid w:val="009365B4"/>
    <w:rsid w:val="00936D0D"/>
    <w:rsid w:val="00937A5D"/>
    <w:rsid w:val="00940928"/>
    <w:rsid w:val="00945179"/>
    <w:rsid w:val="00952AB6"/>
    <w:rsid w:val="00953ACC"/>
    <w:rsid w:val="00956C00"/>
    <w:rsid w:val="009608F1"/>
    <w:rsid w:val="00962237"/>
    <w:rsid w:val="00963825"/>
    <w:rsid w:val="0096552E"/>
    <w:rsid w:val="00966259"/>
    <w:rsid w:val="009757BA"/>
    <w:rsid w:val="00976D93"/>
    <w:rsid w:val="00977433"/>
    <w:rsid w:val="00985D40"/>
    <w:rsid w:val="009867C8"/>
    <w:rsid w:val="009A0496"/>
    <w:rsid w:val="009A0816"/>
    <w:rsid w:val="009A0964"/>
    <w:rsid w:val="009A36C4"/>
    <w:rsid w:val="009A5B1F"/>
    <w:rsid w:val="009A65CA"/>
    <w:rsid w:val="009A78DA"/>
    <w:rsid w:val="009B3CEC"/>
    <w:rsid w:val="009B4B28"/>
    <w:rsid w:val="009B5EDB"/>
    <w:rsid w:val="009B7B77"/>
    <w:rsid w:val="009C2017"/>
    <w:rsid w:val="009C2CF8"/>
    <w:rsid w:val="009C314F"/>
    <w:rsid w:val="009C4192"/>
    <w:rsid w:val="009C5109"/>
    <w:rsid w:val="009D2CE0"/>
    <w:rsid w:val="009D2F43"/>
    <w:rsid w:val="009D5B8C"/>
    <w:rsid w:val="009D6835"/>
    <w:rsid w:val="009D73EA"/>
    <w:rsid w:val="009E2A95"/>
    <w:rsid w:val="009E3B6B"/>
    <w:rsid w:val="009E6184"/>
    <w:rsid w:val="009E64CF"/>
    <w:rsid w:val="009F416C"/>
    <w:rsid w:val="00A00362"/>
    <w:rsid w:val="00A02422"/>
    <w:rsid w:val="00A05713"/>
    <w:rsid w:val="00A0614B"/>
    <w:rsid w:val="00A06DE9"/>
    <w:rsid w:val="00A07484"/>
    <w:rsid w:val="00A122C2"/>
    <w:rsid w:val="00A1268B"/>
    <w:rsid w:val="00A126D9"/>
    <w:rsid w:val="00A141DA"/>
    <w:rsid w:val="00A261AE"/>
    <w:rsid w:val="00A344B5"/>
    <w:rsid w:val="00A3711E"/>
    <w:rsid w:val="00A4375D"/>
    <w:rsid w:val="00A43F7C"/>
    <w:rsid w:val="00A44FB2"/>
    <w:rsid w:val="00A47B29"/>
    <w:rsid w:val="00A47D50"/>
    <w:rsid w:val="00A516DA"/>
    <w:rsid w:val="00A52A69"/>
    <w:rsid w:val="00A53220"/>
    <w:rsid w:val="00A54088"/>
    <w:rsid w:val="00A57B27"/>
    <w:rsid w:val="00A6114B"/>
    <w:rsid w:val="00A62F0E"/>
    <w:rsid w:val="00A70A55"/>
    <w:rsid w:val="00A70BBA"/>
    <w:rsid w:val="00A73BC2"/>
    <w:rsid w:val="00A75A1F"/>
    <w:rsid w:val="00A7701D"/>
    <w:rsid w:val="00A80500"/>
    <w:rsid w:val="00A838AE"/>
    <w:rsid w:val="00A919F5"/>
    <w:rsid w:val="00A93634"/>
    <w:rsid w:val="00A93C88"/>
    <w:rsid w:val="00A96E4D"/>
    <w:rsid w:val="00AA1C51"/>
    <w:rsid w:val="00AA2222"/>
    <w:rsid w:val="00AA2F27"/>
    <w:rsid w:val="00AB501B"/>
    <w:rsid w:val="00AB6455"/>
    <w:rsid w:val="00AB7BB5"/>
    <w:rsid w:val="00AB7C41"/>
    <w:rsid w:val="00AC068D"/>
    <w:rsid w:val="00AC447B"/>
    <w:rsid w:val="00AD1C07"/>
    <w:rsid w:val="00AD222B"/>
    <w:rsid w:val="00AD229A"/>
    <w:rsid w:val="00AD2625"/>
    <w:rsid w:val="00AE079B"/>
    <w:rsid w:val="00AE0B3B"/>
    <w:rsid w:val="00AE1E91"/>
    <w:rsid w:val="00AE43AD"/>
    <w:rsid w:val="00AE53E4"/>
    <w:rsid w:val="00AE7D7A"/>
    <w:rsid w:val="00AF0CA0"/>
    <w:rsid w:val="00AF0D35"/>
    <w:rsid w:val="00AF381E"/>
    <w:rsid w:val="00AF4620"/>
    <w:rsid w:val="00B00286"/>
    <w:rsid w:val="00B0066D"/>
    <w:rsid w:val="00B008ED"/>
    <w:rsid w:val="00B02253"/>
    <w:rsid w:val="00B04BAF"/>
    <w:rsid w:val="00B0517A"/>
    <w:rsid w:val="00B077CF"/>
    <w:rsid w:val="00B10C0C"/>
    <w:rsid w:val="00B11096"/>
    <w:rsid w:val="00B1127E"/>
    <w:rsid w:val="00B13D2F"/>
    <w:rsid w:val="00B1453E"/>
    <w:rsid w:val="00B159B0"/>
    <w:rsid w:val="00B20176"/>
    <w:rsid w:val="00B2204B"/>
    <w:rsid w:val="00B2465C"/>
    <w:rsid w:val="00B24A14"/>
    <w:rsid w:val="00B31909"/>
    <w:rsid w:val="00B331BB"/>
    <w:rsid w:val="00B37B5A"/>
    <w:rsid w:val="00B401C4"/>
    <w:rsid w:val="00B41A68"/>
    <w:rsid w:val="00B41B34"/>
    <w:rsid w:val="00B63EB0"/>
    <w:rsid w:val="00B641AB"/>
    <w:rsid w:val="00B659EB"/>
    <w:rsid w:val="00B66408"/>
    <w:rsid w:val="00B71506"/>
    <w:rsid w:val="00B7159E"/>
    <w:rsid w:val="00B74D67"/>
    <w:rsid w:val="00B8302E"/>
    <w:rsid w:val="00B870CE"/>
    <w:rsid w:val="00B942B6"/>
    <w:rsid w:val="00B96957"/>
    <w:rsid w:val="00B96B6A"/>
    <w:rsid w:val="00BA2221"/>
    <w:rsid w:val="00BA48E0"/>
    <w:rsid w:val="00BA69A5"/>
    <w:rsid w:val="00BB0548"/>
    <w:rsid w:val="00BB0786"/>
    <w:rsid w:val="00BB3170"/>
    <w:rsid w:val="00BB3DAA"/>
    <w:rsid w:val="00BB46D3"/>
    <w:rsid w:val="00BB5E0C"/>
    <w:rsid w:val="00BC2D85"/>
    <w:rsid w:val="00BC500A"/>
    <w:rsid w:val="00BC5C99"/>
    <w:rsid w:val="00BD0943"/>
    <w:rsid w:val="00BD1AE1"/>
    <w:rsid w:val="00BD1F4A"/>
    <w:rsid w:val="00BD3B1B"/>
    <w:rsid w:val="00BD7E90"/>
    <w:rsid w:val="00BE03D4"/>
    <w:rsid w:val="00BE2143"/>
    <w:rsid w:val="00BE261C"/>
    <w:rsid w:val="00BE61F5"/>
    <w:rsid w:val="00BF03AC"/>
    <w:rsid w:val="00BF07D4"/>
    <w:rsid w:val="00C03226"/>
    <w:rsid w:val="00C032FB"/>
    <w:rsid w:val="00C0578B"/>
    <w:rsid w:val="00C05DF4"/>
    <w:rsid w:val="00C07F74"/>
    <w:rsid w:val="00C112FA"/>
    <w:rsid w:val="00C16E2C"/>
    <w:rsid w:val="00C17144"/>
    <w:rsid w:val="00C22999"/>
    <w:rsid w:val="00C238A9"/>
    <w:rsid w:val="00C279E5"/>
    <w:rsid w:val="00C30E32"/>
    <w:rsid w:val="00C32D52"/>
    <w:rsid w:val="00C347BE"/>
    <w:rsid w:val="00C348A0"/>
    <w:rsid w:val="00C35EFD"/>
    <w:rsid w:val="00C36835"/>
    <w:rsid w:val="00C36865"/>
    <w:rsid w:val="00C369B9"/>
    <w:rsid w:val="00C369EF"/>
    <w:rsid w:val="00C40A82"/>
    <w:rsid w:val="00C40FEA"/>
    <w:rsid w:val="00C438B3"/>
    <w:rsid w:val="00C4503B"/>
    <w:rsid w:val="00C450D2"/>
    <w:rsid w:val="00C453DC"/>
    <w:rsid w:val="00C5139F"/>
    <w:rsid w:val="00C5614B"/>
    <w:rsid w:val="00C564E0"/>
    <w:rsid w:val="00C56BBB"/>
    <w:rsid w:val="00C56DD3"/>
    <w:rsid w:val="00C573E2"/>
    <w:rsid w:val="00C61C2A"/>
    <w:rsid w:val="00C62523"/>
    <w:rsid w:val="00C63DAE"/>
    <w:rsid w:val="00C6457F"/>
    <w:rsid w:val="00C65284"/>
    <w:rsid w:val="00C7220D"/>
    <w:rsid w:val="00C749C2"/>
    <w:rsid w:val="00C81A57"/>
    <w:rsid w:val="00C81B6A"/>
    <w:rsid w:val="00C839EE"/>
    <w:rsid w:val="00C9698B"/>
    <w:rsid w:val="00C9736F"/>
    <w:rsid w:val="00C9762A"/>
    <w:rsid w:val="00CA2EC0"/>
    <w:rsid w:val="00CA6CE9"/>
    <w:rsid w:val="00CB0699"/>
    <w:rsid w:val="00CB171D"/>
    <w:rsid w:val="00CB2938"/>
    <w:rsid w:val="00CB3BDB"/>
    <w:rsid w:val="00CB3D4E"/>
    <w:rsid w:val="00CB58A9"/>
    <w:rsid w:val="00CC0B3D"/>
    <w:rsid w:val="00CC63B8"/>
    <w:rsid w:val="00CD045B"/>
    <w:rsid w:val="00CD31CF"/>
    <w:rsid w:val="00CD3347"/>
    <w:rsid w:val="00CD57A9"/>
    <w:rsid w:val="00CD58B6"/>
    <w:rsid w:val="00CE3962"/>
    <w:rsid w:val="00CE4A7F"/>
    <w:rsid w:val="00CE5752"/>
    <w:rsid w:val="00CE57AE"/>
    <w:rsid w:val="00CE6296"/>
    <w:rsid w:val="00CE6FDD"/>
    <w:rsid w:val="00CF0C17"/>
    <w:rsid w:val="00CF3076"/>
    <w:rsid w:val="00CF7BB1"/>
    <w:rsid w:val="00D03347"/>
    <w:rsid w:val="00D03492"/>
    <w:rsid w:val="00D03FA9"/>
    <w:rsid w:val="00D046B3"/>
    <w:rsid w:val="00D11369"/>
    <w:rsid w:val="00D148EA"/>
    <w:rsid w:val="00D1733D"/>
    <w:rsid w:val="00D178B8"/>
    <w:rsid w:val="00D25913"/>
    <w:rsid w:val="00D328A5"/>
    <w:rsid w:val="00D3334A"/>
    <w:rsid w:val="00D350F3"/>
    <w:rsid w:val="00D358A2"/>
    <w:rsid w:val="00D35A95"/>
    <w:rsid w:val="00D37F4E"/>
    <w:rsid w:val="00D37F56"/>
    <w:rsid w:val="00D405CC"/>
    <w:rsid w:val="00D41FEB"/>
    <w:rsid w:val="00D42894"/>
    <w:rsid w:val="00D4601E"/>
    <w:rsid w:val="00D506A8"/>
    <w:rsid w:val="00D516DF"/>
    <w:rsid w:val="00D557EF"/>
    <w:rsid w:val="00D55A74"/>
    <w:rsid w:val="00D57929"/>
    <w:rsid w:val="00D57A99"/>
    <w:rsid w:val="00D57EEC"/>
    <w:rsid w:val="00D62A52"/>
    <w:rsid w:val="00D62AED"/>
    <w:rsid w:val="00D63A8E"/>
    <w:rsid w:val="00D63C41"/>
    <w:rsid w:val="00D65E44"/>
    <w:rsid w:val="00D706D9"/>
    <w:rsid w:val="00D70B9D"/>
    <w:rsid w:val="00D772BD"/>
    <w:rsid w:val="00D8152D"/>
    <w:rsid w:val="00D817BD"/>
    <w:rsid w:val="00D820BB"/>
    <w:rsid w:val="00D827E0"/>
    <w:rsid w:val="00D82D9D"/>
    <w:rsid w:val="00D8316B"/>
    <w:rsid w:val="00D834CA"/>
    <w:rsid w:val="00D85593"/>
    <w:rsid w:val="00D96C2D"/>
    <w:rsid w:val="00D97E0A"/>
    <w:rsid w:val="00DA0BCF"/>
    <w:rsid w:val="00DA1249"/>
    <w:rsid w:val="00DA3A68"/>
    <w:rsid w:val="00DA46F6"/>
    <w:rsid w:val="00DA5B5F"/>
    <w:rsid w:val="00DA7F82"/>
    <w:rsid w:val="00DB02CE"/>
    <w:rsid w:val="00DB0FA5"/>
    <w:rsid w:val="00DB10CC"/>
    <w:rsid w:val="00DB2BDC"/>
    <w:rsid w:val="00DB5EDC"/>
    <w:rsid w:val="00DB7AF5"/>
    <w:rsid w:val="00DC1DB2"/>
    <w:rsid w:val="00DC407C"/>
    <w:rsid w:val="00DC48C4"/>
    <w:rsid w:val="00DC4A6F"/>
    <w:rsid w:val="00DC715B"/>
    <w:rsid w:val="00DD5086"/>
    <w:rsid w:val="00DD56DD"/>
    <w:rsid w:val="00DD63A7"/>
    <w:rsid w:val="00DD65CE"/>
    <w:rsid w:val="00DD7438"/>
    <w:rsid w:val="00DE3068"/>
    <w:rsid w:val="00DE3094"/>
    <w:rsid w:val="00DE3279"/>
    <w:rsid w:val="00DE35C7"/>
    <w:rsid w:val="00DE51C8"/>
    <w:rsid w:val="00DF0E53"/>
    <w:rsid w:val="00DF1C46"/>
    <w:rsid w:val="00DF1F8F"/>
    <w:rsid w:val="00DF31DB"/>
    <w:rsid w:val="00DF3295"/>
    <w:rsid w:val="00DF3F22"/>
    <w:rsid w:val="00DF4F81"/>
    <w:rsid w:val="00DF60DE"/>
    <w:rsid w:val="00DF6FC4"/>
    <w:rsid w:val="00DF7790"/>
    <w:rsid w:val="00E03687"/>
    <w:rsid w:val="00E047F0"/>
    <w:rsid w:val="00E073E8"/>
    <w:rsid w:val="00E079D3"/>
    <w:rsid w:val="00E11631"/>
    <w:rsid w:val="00E14924"/>
    <w:rsid w:val="00E17280"/>
    <w:rsid w:val="00E24A59"/>
    <w:rsid w:val="00E24F98"/>
    <w:rsid w:val="00E255E5"/>
    <w:rsid w:val="00E25AFF"/>
    <w:rsid w:val="00E25BFC"/>
    <w:rsid w:val="00E308A1"/>
    <w:rsid w:val="00E333AB"/>
    <w:rsid w:val="00E33FFA"/>
    <w:rsid w:val="00E344A5"/>
    <w:rsid w:val="00E408BB"/>
    <w:rsid w:val="00E40C23"/>
    <w:rsid w:val="00E4166B"/>
    <w:rsid w:val="00E43C76"/>
    <w:rsid w:val="00E447A8"/>
    <w:rsid w:val="00E44ADE"/>
    <w:rsid w:val="00E46389"/>
    <w:rsid w:val="00E502CC"/>
    <w:rsid w:val="00E51619"/>
    <w:rsid w:val="00E526C5"/>
    <w:rsid w:val="00E55E64"/>
    <w:rsid w:val="00E6099C"/>
    <w:rsid w:val="00E61A4C"/>
    <w:rsid w:val="00E62DA5"/>
    <w:rsid w:val="00E65342"/>
    <w:rsid w:val="00E65700"/>
    <w:rsid w:val="00E718E3"/>
    <w:rsid w:val="00E77047"/>
    <w:rsid w:val="00E778F3"/>
    <w:rsid w:val="00E849B4"/>
    <w:rsid w:val="00E86BAC"/>
    <w:rsid w:val="00E879E3"/>
    <w:rsid w:val="00E90C09"/>
    <w:rsid w:val="00E9343F"/>
    <w:rsid w:val="00E96EF6"/>
    <w:rsid w:val="00EA6CE7"/>
    <w:rsid w:val="00EB072D"/>
    <w:rsid w:val="00EB1A5F"/>
    <w:rsid w:val="00EB2E5C"/>
    <w:rsid w:val="00EB45E4"/>
    <w:rsid w:val="00EB51D9"/>
    <w:rsid w:val="00EC4DC3"/>
    <w:rsid w:val="00EC7AE6"/>
    <w:rsid w:val="00ED0090"/>
    <w:rsid w:val="00ED6A59"/>
    <w:rsid w:val="00EE0BD1"/>
    <w:rsid w:val="00EE1974"/>
    <w:rsid w:val="00EE1FF3"/>
    <w:rsid w:val="00EE29E4"/>
    <w:rsid w:val="00EE6676"/>
    <w:rsid w:val="00EE6BF9"/>
    <w:rsid w:val="00EF1F9D"/>
    <w:rsid w:val="00EF2764"/>
    <w:rsid w:val="00EF3B55"/>
    <w:rsid w:val="00EF3F15"/>
    <w:rsid w:val="00EF655E"/>
    <w:rsid w:val="00EF67A5"/>
    <w:rsid w:val="00EF6807"/>
    <w:rsid w:val="00F07A69"/>
    <w:rsid w:val="00F1087C"/>
    <w:rsid w:val="00F111A0"/>
    <w:rsid w:val="00F12B14"/>
    <w:rsid w:val="00F142E9"/>
    <w:rsid w:val="00F1622C"/>
    <w:rsid w:val="00F22E3C"/>
    <w:rsid w:val="00F23844"/>
    <w:rsid w:val="00F23F30"/>
    <w:rsid w:val="00F31CCD"/>
    <w:rsid w:val="00F32079"/>
    <w:rsid w:val="00F34E8A"/>
    <w:rsid w:val="00F35A9D"/>
    <w:rsid w:val="00F400A2"/>
    <w:rsid w:val="00F41A18"/>
    <w:rsid w:val="00F47560"/>
    <w:rsid w:val="00F54473"/>
    <w:rsid w:val="00F55842"/>
    <w:rsid w:val="00F62E85"/>
    <w:rsid w:val="00F66B80"/>
    <w:rsid w:val="00F745D9"/>
    <w:rsid w:val="00F76248"/>
    <w:rsid w:val="00F7798D"/>
    <w:rsid w:val="00F77C46"/>
    <w:rsid w:val="00F82303"/>
    <w:rsid w:val="00F83347"/>
    <w:rsid w:val="00F846D1"/>
    <w:rsid w:val="00F935DD"/>
    <w:rsid w:val="00F95268"/>
    <w:rsid w:val="00F96C92"/>
    <w:rsid w:val="00FA0E74"/>
    <w:rsid w:val="00FA1874"/>
    <w:rsid w:val="00FA53DC"/>
    <w:rsid w:val="00FA6DE8"/>
    <w:rsid w:val="00FB1301"/>
    <w:rsid w:val="00FB1D31"/>
    <w:rsid w:val="00FB2774"/>
    <w:rsid w:val="00FB392B"/>
    <w:rsid w:val="00FB4490"/>
    <w:rsid w:val="00FB461F"/>
    <w:rsid w:val="00FB62E9"/>
    <w:rsid w:val="00FB796D"/>
    <w:rsid w:val="00FC17C1"/>
    <w:rsid w:val="00FC6B7D"/>
    <w:rsid w:val="00FC7BF8"/>
    <w:rsid w:val="00FD0BE2"/>
    <w:rsid w:val="00FD1966"/>
    <w:rsid w:val="00FD6FCB"/>
    <w:rsid w:val="00FE0204"/>
    <w:rsid w:val="00FE07A3"/>
    <w:rsid w:val="00FE11BF"/>
    <w:rsid w:val="00FE1CB6"/>
    <w:rsid w:val="00FE1D3C"/>
    <w:rsid w:val="00FE2857"/>
    <w:rsid w:val="00FE2DBC"/>
    <w:rsid w:val="00FE631D"/>
    <w:rsid w:val="00FF39B5"/>
    <w:rsid w:val="00FF41D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D3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408B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408BB"/>
    <w:rPr>
      <w:rFonts w:cs="Times New Roman"/>
      <w:sz w:val="20"/>
      <w:szCs w:val="20"/>
    </w:rPr>
  </w:style>
  <w:style w:type="paragraph" w:customStyle="1" w:styleId="a3">
    <w:name w:val="Знак"/>
    <w:basedOn w:val="a"/>
    <w:uiPriority w:val="99"/>
    <w:rsid w:val="00545CF7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A6114B"/>
    <w:pPr>
      <w:ind w:firstLine="851"/>
      <w:jc w:val="both"/>
    </w:pPr>
    <w:rPr>
      <w:spacing w:val="-8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5109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F74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5109"/>
    <w:rPr>
      <w:rFonts w:cs="Times New Roman"/>
      <w:sz w:val="2"/>
    </w:rPr>
  </w:style>
  <w:style w:type="paragraph" w:customStyle="1" w:styleId="ConsPlusNormal">
    <w:name w:val="ConsPlusNormal"/>
    <w:rsid w:val="00722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722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C5109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C510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A2EC0"/>
    <w:rPr>
      <w:rFonts w:cs="Times New Roman"/>
    </w:rPr>
  </w:style>
  <w:style w:type="paragraph" w:styleId="a9">
    <w:name w:val="footer"/>
    <w:basedOn w:val="a"/>
    <w:link w:val="aa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C5109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E0A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2E0AF6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853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85386"/>
    <w:rPr>
      <w:rFonts w:cs="Times New Roman"/>
      <w:sz w:val="24"/>
      <w:szCs w:val="24"/>
    </w:rPr>
  </w:style>
  <w:style w:type="table" w:styleId="af">
    <w:name w:val="Table Grid"/>
    <w:basedOn w:val="a1"/>
    <w:uiPriority w:val="99"/>
    <w:locked/>
    <w:rsid w:val="00801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31EB9"/>
    <w:pPr>
      <w:ind w:left="720"/>
      <w:contextualSpacing/>
    </w:pPr>
  </w:style>
  <w:style w:type="paragraph" w:customStyle="1" w:styleId="1">
    <w:name w:val="Абзац списка1"/>
    <w:basedOn w:val="a"/>
    <w:rsid w:val="000E320F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2Exact">
    <w:name w:val="Body text (2) Exact"/>
    <w:basedOn w:val="a0"/>
    <w:rsid w:val="00976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976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976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976D93"/>
    <w:rPr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976D93"/>
    <w:rPr>
      <w:sz w:val="28"/>
      <w:szCs w:val="28"/>
      <w:shd w:val="clear" w:color="auto" w:fill="FFFFFF"/>
    </w:rPr>
  </w:style>
  <w:style w:type="character" w:customStyle="1" w:styleId="Bodytext2105ptBold">
    <w:name w:val="Body text (2) + 10.5 pt;Bold"/>
    <w:basedOn w:val="Bodytext2"/>
    <w:rsid w:val="00976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rsid w:val="00976D93"/>
    <w:pPr>
      <w:widowControl w:val="0"/>
      <w:shd w:val="clear" w:color="auto" w:fill="FFFFFF"/>
      <w:spacing w:line="0" w:lineRule="atLeast"/>
      <w:outlineLvl w:val="0"/>
    </w:pPr>
    <w:rPr>
      <w:sz w:val="28"/>
      <w:szCs w:val="28"/>
    </w:rPr>
  </w:style>
  <w:style w:type="paragraph" w:customStyle="1" w:styleId="Tablecaption0">
    <w:name w:val="Table caption"/>
    <w:basedOn w:val="a"/>
    <w:link w:val="Tablecaption"/>
    <w:rsid w:val="00976D9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1">
    <w:name w:val="Emphasis"/>
    <w:basedOn w:val="a0"/>
    <w:qFormat/>
    <w:locked/>
    <w:rsid w:val="008A6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D3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408B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408BB"/>
    <w:rPr>
      <w:rFonts w:cs="Times New Roman"/>
      <w:sz w:val="20"/>
      <w:szCs w:val="20"/>
    </w:rPr>
  </w:style>
  <w:style w:type="paragraph" w:customStyle="1" w:styleId="a3">
    <w:name w:val="Знак"/>
    <w:basedOn w:val="a"/>
    <w:uiPriority w:val="99"/>
    <w:rsid w:val="00545CF7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A6114B"/>
    <w:pPr>
      <w:ind w:firstLine="851"/>
      <w:jc w:val="both"/>
    </w:pPr>
    <w:rPr>
      <w:spacing w:val="-8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5109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F74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5109"/>
    <w:rPr>
      <w:rFonts w:cs="Times New Roman"/>
      <w:sz w:val="2"/>
    </w:rPr>
  </w:style>
  <w:style w:type="paragraph" w:customStyle="1" w:styleId="ConsPlusNormal">
    <w:name w:val="ConsPlusNormal"/>
    <w:rsid w:val="00722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722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C5109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C510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A2EC0"/>
    <w:rPr>
      <w:rFonts w:cs="Times New Roman"/>
    </w:rPr>
  </w:style>
  <w:style w:type="paragraph" w:styleId="a9">
    <w:name w:val="footer"/>
    <w:basedOn w:val="a"/>
    <w:link w:val="aa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C5109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E0A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2E0AF6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853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85386"/>
    <w:rPr>
      <w:rFonts w:cs="Times New Roman"/>
      <w:sz w:val="24"/>
      <w:szCs w:val="24"/>
    </w:rPr>
  </w:style>
  <w:style w:type="table" w:styleId="af">
    <w:name w:val="Table Grid"/>
    <w:basedOn w:val="a1"/>
    <w:uiPriority w:val="99"/>
    <w:locked/>
    <w:rsid w:val="00801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31EB9"/>
    <w:pPr>
      <w:ind w:left="720"/>
      <w:contextualSpacing/>
    </w:pPr>
  </w:style>
  <w:style w:type="paragraph" w:customStyle="1" w:styleId="1">
    <w:name w:val="Абзац списка1"/>
    <w:basedOn w:val="a"/>
    <w:rsid w:val="000E320F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2Exact">
    <w:name w:val="Body text (2) Exact"/>
    <w:basedOn w:val="a0"/>
    <w:rsid w:val="00976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976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976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976D93"/>
    <w:rPr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976D93"/>
    <w:rPr>
      <w:sz w:val="28"/>
      <w:szCs w:val="28"/>
      <w:shd w:val="clear" w:color="auto" w:fill="FFFFFF"/>
    </w:rPr>
  </w:style>
  <w:style w:type="character" w:customStyle="1" w:styleId="Bodytext2105ptBold">
    <w:name w:val="Body text (2) + 10.5 pt;Bold"/>
    <w:basedOn w:val="Bodytext2"/>
    <w:rsid w:val="00976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rsid w:val="00976D93"/>
    <w:pPr>
      <w:widowControl w:val="0"/>
      <w:shd w:val="clear" w:color="auto" w:fill="FFFFFF"/>
      <w:spacing w:line="0" w:lineRule="atLeast"/>
      <w:outlineLvl w:val="0"/>
    </w:pPr>
    <w:rPr>
      <w:sz w:val="28"/>
      <w:szCs w:val="28"/>
    </w:rPr>
  </w:style>
  <w:style w:type="paragraph" w:customStyle="1" w:styleId="Tablecaption0">
    <w:name w:val="Table caption"/>
    <w:basedOn w:val="a"/>
    <w:link w:val="Tablecaption"/>
    <w:rsid w:val="00976D93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1">
    <w:name w:val="Emphasis"/>
    <w:basedOn w:val="a0"/>
    <w:qFormat/>
    <w:locked/>
    <w:rsid w:val="008A6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F706-6308-42EC-AA81-EA14CAAD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Министерство финансов ставропольского края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Филипович</dc:creator>
  <cp:lastModifiedBy>Ирина Г. Белоцерковская</cp:lastModifiedBy>
  <cp:revision>2</cp:revision>
  <cp:lastPrinted>2020-09-17T09:40:00Z</cp:lastPrinted>
  <dcterms:created xsi:type="dcterms:W3CDTF">2020-09-25T08:42:00Z</dcterms:created>
  <dcterms:modified xsi:type="dcterms:W3CDTF">2020-09-25T08:42:00Z</dcterms:modified>
</cp:coreProperties>
</file>